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16C00" w:rsidRDefault="00816C00" w:rsidP="00816C00">
      <w:pPr>
        <w:widowControl w:val="0"/>
        <w:pBdr>
          <w:top w:val="nil"/>
          <w:left w:val="nil"/>
          <w:bottom w:val="nil"/>
          <w:right w:val="nil"/>
          <w:between w:val="nil"/>
        </w:pBdr>
        <w:spacing w:line="276" w:lineRule="auto"/>
      </w:pPr>
    </w:p>
    <w:p w:rsidR="00816C00" w:rsidRPr="008A359D" w:rsidRDefault="00816C00" w:rsidP="00816C00">
      <w:pPr>
        <w:pBdr>
          <w:top w:val="nil"/>
          <w:left w:val="nil"/>
          <w:bottom w:val="nil"/>
          <w:right w:val="nil"/>
          <w:between w:val="nil"/>
        </w:pBdr>
        <w:ind w:left="851"/>
        <w:jc w:val="both"/>
        <w:rPr>
          <w:b/>
          <w:color w:val="000000"/>
          <w:sz w:val="28"/>
          <w:szCs w:val="28"/>
        </w:rPr>
      </w:pPr>
      <w:r w:rsidRPr="008A359D">
        <w:rPr>
          <w:b/>
          <w:color w:val="000000"/>
          <w:sz w:val="28"/>
          <w:szCs w:val="28"/>
        </w:rPr>
        <w:t xml:space="preserve">Analysis of the Health Level of Bank Syariah Indonesia Before and When a Cyber Attack Using the CAMEL Method </w:t>
      </w:r>
    </w:p>
    <w:p w:rsidR="00816C00" w:rsidRPr="008A359D" w:rsidRDefault="00816C00" w:rsidP="00816C00">
      <w:pPr>
        <w:pBdr>
          <w:top w:val="nil"/>
          <w:left w:val="nil"/>
          <w:bottom w:val="nil"/>
          <w:right w:val="nil"/>
          <w:between w:val="nil"/>
        </w:pBdr>
        <w:ind w:left="851"/>
        <w:jc w:val="both"/>
        <w:rPr>
          <w:b/>
          <w:color w:val="000000"/>
          <w:sz w:val="28"/>
          <w:szCs w:val="28"/>
        </w:rPr>
      </w:pPr>
      <w:r w:rsidRPr="008A359D">
        <w:rPr>
          <w:b/>
          <w:color w:val="000000"/>
          <w:sz w:val="28"/>
          <w:szCs w:val="28"/>
        </w:rPr>
        <w:t>[Analisis Tingkat Kesehatan Bank Syariah Indonesia Sebelum dan Ketika Serangan Cyber Dengan Menggunakan Metode CAMEL]</w:t>
      </w:r>
    </w:p>
    <w:p w:rsidR="00816C00" w:rsidRPr="008A359D" w:rsidRDefault="00816C00" w:rsidP="00816C00">
      <w:pPr>
        <w:rPr>
          <w:sz w:val="20"/>
          <w:szCs w:val="20"/>
        </w:rPr>
      </w:pPr>
    </w:p>
    <w:p w:rsidR="00816C00" w:rsidRPr="008A359D" w:rsidRDefault="00816C00" w:rsidP="00816C00">
      <w:pPr>
        <w:pBdr>
          <w:top w:val="nil"/>
          <w:left w:val="nil"/>
          <w:bottom w:val="nil"/>
          <w:right w:val="nil"/>
          <w:between w:val="nil"/>
        </w:pBdr>
        <w:spacing w:after="115"/>
        <w:ind w:left="851"/>
        <w:rPr>
          <w:b/>
          <w:color w:val="000000"/>
        </w:rPr>
      </w:pPr>
      <w:r w:rsidRPr="008A359D">
        <w:rPr>
          <w:color w:val="000000"/>
          <w:sz w:val="20"/>
          <w:szCs w:val="20"/>
        </w:rPr>
        <w:t>Rizki Intan Juliana</w:t>
      </w:r>
      <w:r w:rsidRPr="008A359D">
        <w:rPr>
          <w:color w:val="000000"/>
          <w:sz w:val="20"/>
          <w:szCs w:val="20"/>
          <w:vertAlign w:val="superscript"/>
        </w:rPr>
        <w:t>1)</w:t>
      </w:r>
      <w:r w:rsidRPr="008A359D">
        <w:rPr>
          <w:color w:val="000000"/>
          <w:sz w:val="20"/>
          <w:szCs w:val="20"/>
        </w:rPr>
        <w:t>, Nurasik</w:t>
      </w:r>
      <w:r w:rsidRPr="008A359D">
        <w:rPr>
          <w:color w:val="000000"/>
          <w:sz w:val="20"/>
          <w:szCs w:val="20"/>
          <w:vertAlign w:val="superscript"/>
        </w:rPr>
        <w:t>2)</w:t>
      </w:r>
      <w:r w:rsidRPr="008A359D">
        <w:rPr>
          <w:color w:val="000000"/>
          <w:sz w:val="20"/>
          <w:szCs w:val="20"/>
        </w:rPr>
        <w:t xml:space="preserve"> </w:t>
      </w:r>
    </w:p>
    <w:p w:rsidR="00816C00" w:rsidRPr="008A359D" w:rsidRDefault="00816C00" w:rsidP="00816C00">
      <w:pPr>
        <w:ind w:left="851"/>
      </w:pPr>
      <w:bookmarkStart w:id="0" w:name="_heading=h.gjdgxs" w:colFirst="0" w:colLast="0"/>
      <w:bookmarkEnd w:id="0"/>
      <w:r w:rsidRPr="008A359D">
        <w:rPr>
          <w:sz w:val="20"/>
          <w:szCs w:val="20"/>
          <w:vertAlign w:val="superscript"/>
        </w:rPr>
        <w:t>1)</w:t>
      </w:r>
      <w:r w:rsidRPr="008A359D">
        <w:rPr>
          <w:sz w:val="20"/>
          <w:szCs w:val="20"/>
        </w:rPr>
        <w:t>Program Studi Akuntansi, Universitas Muhammadiyah Sidoarjo, Indonesia</w:t>
      </w:r>
    </w:p>
    <w:p w:rsidR="00816C00" w:rsidRPr="008A359D" w:rsidRDefault="00816C00" w:rsidP="00816C00">
      <w:pPr>
        <w:ind w:left="851"/>
      </w:pPr>
      <w:r w:rsidRPr="008A359D">
        <w:rPr>
          <w:sz w:val="20"/>
          <w:szCs w:val="20"/>
          <w:vertAlign w:val="superscript"/>
        </w:rPr>
        <w:t>2)</w:t>
      </w:r>
      <w:r w:rsidRPr="008A359D">
        <w:rPr>
          <w:sz w:val="20"/>
          <w:szCs w:val="20"/>
        </w:rPr>
        <w:t xml:space="preserve"> Program Studi Akuntansi, Universitas Muhammadiyah Sidoarjo, Indonesia</w:t>
      </w:r>
    </w:p>
    <w:p w:rsidR="00816C00" w:rsidRPr="008A359D" w:rsidRDefault="00816C00" w:rsidP="00816C00">
      <w:pPr>
        <w:ind w:left="851"/>
        <w:rPr>
          <w:sz w:val="20"/>
          <w:szCs w:val="20"/>
        </w:rPr>
      </w:pPr>
      <w:r w:rsidRPr="008A359D">
        <w:rPr>
          <w:sz w:val="20"/>
          <w:szCs w:val="20"/>
        </w:rPr>
        <w:t>*Email Penulis Korespondensi: nurasik@umsida.ac.id</w:t>
      </w:r>
    </w:p>
    <w:p w:rsidR="00816C00" w:rsidRPr="008A359D" w:rsidRDefault="00816C00" w:rsidP="00816C00">
      <w:pPr>
        <w:rPr>
          <w:i/>
          <w:sz w:val="20"/>
          <w:szCs w:val="20"/>
        </w:rPr>
      </w:pPr>
    </w:p>
    <w:p w:rsidR="00816C00" w:rsidRPr="008A359D" w:rsidRDefault="00816C00" w:rsidP="00816C00">
      <w:pPr>
        <w:rPr>
          <w:sz w:val="20"/>
          <w:szCs w:val="20"/>
        </w:rPr>
        <w:sectPr w:rsidR="00816C00" w:rsidRPr="008A359D" w:rsidSect="00816C00">
          <w:headerReference w:type="even" r:id="rId7"/>
          <w:footerReference w:type="even" r:id="rId8"/>
          <w:footerReference w:type="default" r:id="rId9"/>
          <w:footerReference w:type="first" r:id="rId10"/>
          <w:pgSz w:w="11906" w:h="16838"/>
          <w:pgMar w:top="1701" w:right="1134" w:bottom="1134" w:left="1411" w:header="850" w:footer="720" w:gutter="0"/>
          <w:pgNumType w:start="1"/>
          <w:cols w:space="720"/>
          <w:titlePg/>
        </w:sectPr>
      </w:pPr>
    </w:p>
    <w:p w:rsidR="00816C00" w:rsidRPr="008A359D" w:rsidRDefault="00816C00" w:rsidP="00816C00">
      <w:pPr>
        <w:keepNext/>
        <w:pBdr>
          <w:top w:val="nil"/>
          <w:left w:val="nil"/>
          <w:bottom w:val="nil"/>
          <w:right w:val="nil"/>
          <w:between w:val="nil"/>
        </w:pBdr>
        <w:ind w:right="4" w:hanging="567"/>
        <w:jc w:val="both"/>
        <w:rPr>
          <w:i/>
          <w:smallCaps/>
          <w:color w:val="000000"/>
          <w:sz w:val="20"/>
          <w:szCs w:val="20"/>
        </w:rPr>
      </w:pPr>
      <w:bookmarkStart w:id="1" w:name="_heading=h.30j0zll" w:colFirst="0" w:colLast="0"/>
      <w:bookmarkEnd w:id="1"/>
      <w:r w:rsidRPr="008A359D">
        <w:rPr>
          <w:b/>
          <w:i/>
          <w:color w:val="000000"/>
          <w:sz w:val="20"/>
          <w:szCs w:val="20"/>
        </w:rPr>
        <w:t>Abstract</w:t>
      </w:r>
      <w:r w:rsidRPr="008A359D">
        <w:rPr>
          <w:i/>
          <w:color w:val="000000"/>
          <w:sz w:val="20"/>
          <w:szCs w:val="20"/>
        </w:rPr>
        <w:t>. Bank Syariah Indonesia (BSI) is one of the new banks that was formed as a result of the merger of three sharia banks, namely Bank BRI Syariah, Bank Syariah Mandiri and Bank BNI Syariah. However, several months ago, BSI experienced a cyber attack which caused financial losses for the bank and damaged BSI's reputation in an unpredictable period of time. This research aims to find out the health level of BSI before and when a cyber attack using the CAMEL method. This research uses comparative descriptive research, using a quantitative approach. The data used is secondary data in the form of BSI monthly financial reports for the period April 2023 &amp; May 2023. The data obtained was then analyzed using descriptive statistical analysis techniques, then a normality test and paired sample t-test were carried out to test the hypothesis. The results of this study show that there is no significant difference between the BSI health level before and when a cyber attack using the CAMEL method.</w:t>
      </w:r>
    </w:p>
    <w:p w:rsidR="00816C00" w:rsidRPr="008A359D" w:rsidRDefault="00816C00" w:rsidP="00816C00">
      <w:pPr>
        <w:keepNext/>
        <w:pBdr>
          <w:top w:val="nil"/>
          <w:left w:val="nil"/>
          <w:bottom w:val="nil"/>
          <w:right w:val="nil"/>
          <w:between w:val="nil"/>
        </w:pBdr>
        <w:spacing w:before="58"/>
        <w:ind w:right="4" w:hanging="567"/>
        <w:jc w:val="both"/>
        <w:rPr>
          <w:i/>
          <w:color w:val="000000"/>
          <w:sz w:val="20"/>
          <w:szCs w:val="20"/>
        </w:rPr>
      </w:pPr>
      <w:r w:rsidRPr="008A359D">
        <w:rPr>
          <w:b/>
          <w:i/>
          <w:color w:val="000000"/>
          <w:sz w:val="20"/>
          <w:szCs w:val="20"/>
        </w:rPr>
        <w:t>Keywords -</w:t>
      </w:r>
      <w:r w:rsidRPr="008A359D">
        <w:rPr>
          <w:i/>
          <w:color w:val="000000"/>
          <w:sz w:val="20"/>
          <w:szCs w:val="20"/>
        </w:rPr>
        <w:t xml:space="preserve"> BSI, CAMEL, bank health, cyber attack</w:t>
      </w:r>
    </w:p>
    <w:p w:rsidR="00816C00" w:rsidRPr="008A359D" w:rsidRDefault="00816C00" w:rsidP="00816C00">
      <w:pPr>
        <w:keepNext/>
        <w:pBdr>
          <w:top w:val="nil"/>
          <w:left w:val="nil"/>
          <w:bottom w:val="nil"/>
          <w:right w:val="nil"/>
          <w:between w:val="nil"/>
        </w:pBdr>
        <w:spacing w:before="58"/>
        <w:ind w:right="4" w:hanging="567"/>
        <w:jc w:val="both"/>
        <w:rPr>
          <w:b/>
          <w:i/>
        </w:rPr>
      </w:pPr>
    </w:p>
    <w:p w:rsidR="00816C00" w:rsidRPr="008A359D" w:rsidRDefault="00816C00" w:rsidP="00816C00">
      <w:pPr>
        <w:keepNext/>
        <w:pBdr>
          <w:top w:val="nil"/>
          <w:left w:val="nil"/>
          <w:bottom w:val="nil"/>
          <w:right w:val="nil"/>
          <w:between w:val="nil"/>
        </w:pBdr>
        <w:ind w:right="4" w:hanging="567"/>
        <w:jc w:val="both"/>
        <w:rPr>
          <w:i/>
          <w:smallCaps/>
          <w:color w:val="000000"/>
          <w:sz w:val="20"/>
          <w:szCs w:val="20"/>
        </w:rPr>
      </w:pPr>
      <w:r w:rsidRPr="008A359D">
        <w:rPr>
          <w:b/>
          <w:i/>
          <w:color w:val="000000"/>
          <w:sz w:val="20"/>
          <w:szCs w:val="20"/>
        </w:rPr>
        <w:t>Abstrak</w:t>
      </w:r>
      <w:r w:rsidRPr="008A359D">
        <w:rPr>
          <w:i/>
          <w:color w:val="000000"/>
          <w:sz w:val="20"/>
          <w:szCs w:val="20"/>
        </w:rPr>
        <w:t>. Bank Syariah Indonesia (BSI) merupakan salah satu bank baru yang terbentuk dari merger  tiga bank syariah yaitu Bank BRI Syariah, Bank Syariah Mandiri dan Bank BNI Syariah. Namun beberapa bulan lalu, BSI mengalami serangan cyber yang menimbulkan kerugian finansial bagi bank dan merusak reputasi BSI dalam jangka waktu yang tidak dapat diprediksi. Penelitian ini bertujuan untuk mengetahui tingkat kesehatan BSI sebelum dan saat terjadi serangan cyber dengan metode CAMEL. Penelitian ini menggunakan jenis penelitian deskriptif komparatif, dengan menggunakan pendekatan kuantitatif. Data yang digunakan adalah data sekunder berupa laporan keuangan bulanan BSI bulan April 2023 &amp; Mei 2023. Data yang diperoleh kemudian dianalisis menggunakan teknik analisis statistik deskriptif, kemudian dilakukan uji normalitas dan uji beda berpasangan (paired sample t-test) untuk menguji hipotesis. Hasil penelitian ini menunjukkan bahwa tidak terdapat perbedaan yang signifikan antara tingkat kesehatan BSI sebelum dan saat terjadi serangan cyber menggunakan metode CAMEL.</w:t>
      </w:r>
    </w:p>
    <w:p w:rsidR="00816C00" w:rsidRPr="008A359D" w:rsidRDefault="00816C00" w:rsidP="00816C00">
      <w:pPr>
        <w:keepNext/>
        <w:pBdr>
          <w:top w:val="nil"/>
          <w:left w:val="nil"/>
          <w:bottom w:val="nil"/>
          <w:right w:val="nil"/>
          <w:between w:val="nil"/>
        </w:pBdr>
        <w:tabs>
          <w:tab w:val="left" w:pos="0"/>
        </w:tabs>
        <w:spacing w:before="58"/>
        <w:ind w:right="4" w:hanging="567"/>
        <w:jc w:val="both"/>
        <w:rPr>
          <w:i/>
          <w:color w:val="000000"/>
          <w:sz w:val="20"/>
          <w:szCs w:val="20"/>
        </w:rPr>
        <w:sectPr w:rsidR="00816C00" w:rsidRPr="008A359D" w:rsidSect="00816C00">
          <w:type w:val="continuous"/>
          <w:pgSz w:w="11906" w:h="16838"/>
          <w:pgMar w:top="1701" w:right="1134" w:bottom="1701" w:left="1412" w:header="1134" w:footer="720" w:gutter="0"/>
          <w:cols w:space="720"/>
        </w:sectPr>
      </w:pPr>
      <w:r w:rsidRPr="008A359D">
        <w:rPr>
          <w:b/>
          <w:i/>
          <w:color w:val="000000"/>
          <w:sz w:val="20"/>
          <w:szCs w:val="20"/>
        </w:rPr>
        <w:t xml:space="preserve">Kata Kunci - </w:t>
      </w:r>
      <w:r w:rsidRPr="008A359D">
        <w:rPr>
          <w:i/>
          <w:color w:val="000000"/>
          <w:sz w:val="20"/>
          <w:szCs w:val="20"/>
        </w:rPr>
        <w:t>BSI, CAMEL, kesehatan bank, serangan cyber</w:t>
      </w:r>
    </w:p>
    <w:p w:rsidR="00816C00" w:rsidRPr="008A359D" w:rsidRDefault="00816C00" w:rsidP="00816C00">
      <w:pPr>
        <w:pStyle w:val="Heading1"/>
        <w:numPr>
          <w:ilvl w:val="0"/>
          <w:numId w:val="3"/>
        </w:numPr>
        <w:rPr>
          <w:sz w:val="24"/>
          <w:szCs w:val="24"/>
        </w:rPr>
      </w:pPr>
      <w:r w:rsidRPr="008A359D">
        <w:rPr>
          <w:sz w:val="24"/>
          <w:szCs w:val="24"/>
        </w:rPr>
        <w:t xml:space="preserve">I. Pendahuluan </w:t>
      </w:r>
    </w:p>
    <w:p w:rsidR="00816C00" w:rsidRPr="008A359D" w:rsidRDefault="00816C00" w:rsidP="00816C00">
      <w:pPr>
        <w:pBdr>
          <w:top w:val="nil"/>
          <w:left w:val="nil"/>
          <w:bottom w:val="nil"/>
          <w:right w:val="nil"/>
          <w:between w:val="nil"/>
        </w:pBdr>
        <w:ind w:firstLine="288"/>
        <w:jc w:val="both"/>
        <w:rPr>
          <w:sz w:val="20"/>
          <w:szCs w:val="20"/>
        </w:rPr>
      </w:pPr>
      <w:r w:rsidRPr="008A359D">
        <w:rPr>
          <w:color w:val="000000"/>
          <w:sz w:val="20"/>
          <w:szCs w:val="20"/>
        </w:rPr>
        <w:t xml:space="preserve">Bank berperan penting dalam sistem ekonomi di suatu negara. Bank ialah suatu badan usaha untuk melakukan penghimpunan pada uang masyarakat dalam bentuk simpanan serta kemudian menyalurkannya dalam bentuk kredit ataupun yang lainnya untuk membantu </w:t>
      </w:r>
      <w:r w:rsidRPr="008A359D">
        <w:rPr>
          <w:sz w:val="20"/>
          <w:szCs w:val="20"/>
        </w:rPr>
        <w:t xml:space="preserve">peningkatan taraf hidup masyarakat </w:t>
      </w:r>
      <w:r w:rsidRPr="008A359D">
        <w:rPr>
          <w:sz w:val="20"/>
          <w:szCs w:val="20"/>
        </w:rPr>
        <w:fldChar w:fldCharType="begin" w:fldLock="1"/>
      </w:r>
      <w:r w:rsidRPr="008A359D">
        <w:rPr>
          <w:sz w:val="20"/>
          <w:szCs w:val="20"/>
        </w:rPr>
        <w:instrText>ADDIN CSL_CITATION {"citationItems":[{"id":"ITEM-1","itemData":{"abstract":"bahwa hak asasi manusia merupakan hak dasar yang secara kodrati melekat pada diri manusia, bersifat universal dan langgeng, oleh karena itu harus dilindungi, dihormati, dipertahankan, dan tidak boleh diabaikan, dikurangi, atau dirampas oleh siapapun; bahwa selain hak asasi, manusia juga mempunyai kewajiban dasar antara manusia yang satu terhadap yang lain dan terhadap masyarakat secara keseluruhan dalam kehidupan bermasyarakat, berbangsa, dan bernegara;","author":[{"dropping-particle":"","family":"Indonesia","given":"Republik","non-dropping-particle":"","parse-names":false,"suffix":""}],"container-title":"Https://Peraturan.Bpk.Go.Id/","id":"ITEM-1","issued":{"date-parts":[["1998"]]},"page":"63","title":"Undang Undang Nomor 10 Tahun 1998 tentang Perubahan atas UU Nomor 7 Tahun 1992","type":"article-journal"},"uris":["http://www.mendeley.com/documents/?uuid=93ba5cba-73d9-4596-a6cb-133c7109a3b1"]}],"mendeley":{"formattedCitation":"[1]","plainTextFormattedCitation":"[1]","previouslyFormattedCitation":"[1]"},"properties":{"noteIndex":0},"schema":"https://github.com/citation-style-language/schema/raw/master/csl-citation.json"}</w:instrText>
      </w:r>
      <w:r w:rsidRPr="008A359D">
        <w:rPr>
          <w:sz w:val="20"/>
          <w:szCs w:val="20"/>
        </w:rPr>
        <w:fldChar w:fldCharType="separate"/>
      </w:r>
      <w:r w:rsidRPr="008A359D">
        <w:rPr>
          <w:noProof/>
          <w:sz w:val="20"/>
          <w:szCs w:val="20"/>
        </w:rPr>
        <w:t>[1]</w:t>
      </w:r>
      <w:r w:rsidRPr="008A359D">
        <w:rPr>
          <w:sz w:val="20"/>
          <w:szCs w:val="20"/>
        </w:rPr>
        <w:fldChar w:fldCharType="end"/>
      </w:r>
      <w:r w:rsidRPr="008A359D">
        <w:rPr>
          <w:sz w:val="20"/>
          <w:szCs w:val="20"/>
        </w:rPr>
        <w:t xml:space="preserve">. Seiring berjalannya waktu, semakin banyak bank yang bermunculan. Salah satunya adalah Bank Syariah Indonesia (BSI) yang dibentuk sebagai hasil merger antara Bank BRI Syariah, Bank Syariah Mandiri dan Bank BNI Syariah yang diresmikan pada tanggal 01 Februari 2021. Tujuan dari merger ini adalah untuk membuat bank syariah menjadi lebih kuat dan lebih besar. Dengan demikian, BSI dapat meningkatkan kapasitas permodalan dan menyediakan layanan yang lebih lengkap dan jangkauan yang lebih luas dan lengkap </w:t>
      </w:r>
      <w:r w:rsidRPr="008A359D">
        <w:rPr>
          <w:sz w:val="20"/>
          <w:szCs w:val="20"/>
        </w:rPr>
        <w:fldChar w:fldCharType="begin" w:fldLock="1"/>
      </w:r>
      <w:r w:rsidRPr="008A359D">
        <w:rPr>
          <w:sz w:val="20"/>
          <w:szCs w:val="20"/>
        </w:rPr>
        <w:instrText>ADDIN CSL_CITATION {"citationItems":[{"id":"ITEM-1","itemData":{"URL":"bankbsi.co.id","abstract":"Industri perbankan di Indonesia mencatat sejarah baru dengan hadirnya PT Bank Syariah Indonesia Tbk (BSI) yang secara resmi lahir pada 1 Februari 2021 atau 19 Jumadil Akhir 1442 H. Presiden Joko Widodo secara langsung meresmikan Bank Syariah terbesar di Indonesia tersebut di Istana Negara. BSI merupakan bank hasil merger antara PT Bank BRIsyariah Tbk, PT Bank Syariah Mandiri dan PT Bank BNI Syariah. melalui Surat Keputusan Otoritas Jasa Keuangan (OJK) No. 04/KDK.03/2021 secara resmi mengeluarkan izin merger tiga usaha bank syariah tersebut pada 27 Januari 2021. Selanjutnya, pada 1 Februari 2021, Presiden Joko Widodo meresmikan kehadiran BSI. Komposisi pemegang saham BSI adalah: PT Bank Mandiri (Persero) Tbk 50,83%, PT Bank Negara Indonesia (Persero) Tbk 24,85%, PT Bank Rakyat Indonesia (Persero) Tbk 17,25%. Sisanya adalah pemegang saham yang masing-masing di bawah 5%. Penggabungan ini menyatukan kelebihan dari ketiga bank syariah tersebut, sehingga menghadirkan layanan yang lebih lengkap, jangkauan lebih luas, serta memiliki kapasitas permodalan yang lebih baik. Didukung sinergi dengan perusahaan serta komitmen pemerintah melalui Kementerian BUMN, BSI didorong untuk dapat bersaing di tingkat global. BSI merupakan ikhtiar atas lahirnya bank syariah kebanggaan umat, yang diharapkan menjadi energi baru pembangunan ekonomi nasional serta berkontribusi terhadap kesejahteraan masyarakat luas. Keberadaan BSI juga menjadi cermin wajah perbankan Syariah di Indonesia yang modern, universal, dan memberikan kebaikan bagi segenap alam (Rahmatan Lil ‘Aalamiin). Potensi BSI untuk terus berkembang dan menjadi bagian dari kelompok bank syariah terkemuka di tingkat global sangat terbuka. Selain kinerja yang tumbuh positif, dukungan iklim bahwa pemerintah Indonesia memiliki misi lahirnya ekosistem industri halal dan memiliki bank syariah nasional yang besar serta kuat, fakta bahwa Indonesia sebagai negara dengan penduduk muslim terbesar di dunia ikut membuka peluang. Dalam konteks inilah kehadiran BSI menjadi sangat penting. Bukan hanya mampu memainkan peran penting sebagai fasilitator pada seluruh aktivitas ekonomi dalam ekosistem industri halal, tetapi juga sebuah ikhtiar mewujudkan harapan Negeri.","author":[{"dropping-particle":"","family":"Indonesia","given":"Bank Syariah","non-dropping-particle":"","parse-names":false,"suffix":""}],"container-title":"Bank Syariah Indonesia","id":"ITEM-1","issued":{"date-parts":[["2024"]]},"title":"Bank Syariah Indonesia","type":"webpage"},"uris":["http://www.mendeley.com/documents/?uuid=9a8e29a4-1ef3-4817-84b2-43c5e0d1cf78"]}],"mendeley":{"formattedCitation":"[2]","plainTextFormattedCitation":"[2]","previouslyFormattedCitation":"[2]"},"properties":{"noteIndex":0},"schema":"https://github.com/citation-style-language/schema/raw/master/csl-citation.json"}</w:instrText>
      </w:r>
      <w:r w:rsidRPr="008A359D">
        <w:rPr>
          <w:sz w:val="20"/>
          <w:szCs w:val="20"/>
        </w:rPr>
        <w:fldChar w:fldCharType="separate"/>
      </w:r>
      <w:r w:rsidRPr="008A359D">
        <w:rPr>
          <w:noProof/>
          <w:sz w:val="20"/>
          <w:szCs w:val="20"/>
        </w:rPr>
        <w:t>[2]</w:t>
      </w:r>
      <w:r w:rsidRPr="008A359D">
        <w:rPr>
          <w:sz w:val="20"/>
          <w:szCs w:val="20"/>
        </w:rPr>
        <w:fldChar w:fldCharType="end"/>
      </w:r>
      <w:r w:rsidRPr="008A359D">
        <w:rPr>
          <w:sz w:val="20"/>
          <w:szCs w:val="20"/>
        </w:rPr>
        <w:t>.</w:t>
      </w:r>
    </w:p>
    <w:p w:rsidR="00816C00" w:rsidRPr="008A359D" w:rsidRDefault="00816C00" w:rsidP="00816C00">
      <w:pPr>
        <w:pBdr>
          <w:top w:val="nil"/>
          <w:left w:val="nil"/>
          <w:bottom w:val="nil"/>
          <w:right w:val="nil"/>
          <w:between w:val="nil"/>
        </w:pBdr>
        <w:ind w:firstLine="288"/>
        <w:jc w:val="both"/>
        <w:rPr>
          <w:sz w:val="20"/>
          <w:szCs w:val="20"/>
        </w:rPr>
      </w:pPr>
      <w:r w:rsidRPr="008A359D">
        <w:rPr>
          <w:sz w:val="20"/>
          <w:szCs w:val="20"/>
        </w:rPr>
        <w:t xml:space="preserve">Beberapa bulan lalu, BSI mengalami gangguan layanan sejak Senin, 08 Mei 2023 dan berlangsung selama kurang lebih satu minggu. Gangguan ini disebabkan oleh serangan cyber jenis ransomeware </w:t>
      </w:r>
      <w:r w:rsidRPr="008A359D">
        <w:rPr>
          <w:sz w:val="20"/>
          <w:szCs w:val="20"/>
        </w:rPr>
        <w:fldChar w:fldCharType="begin" w:fldLock="1"/>
      </w:r>
      <w:r w:rsidRPr="008A359D">
        <w:rPr>
          <w:sz w:val="20"/>
          <w:szCs w:val="20"/>
        </w:rPr>
        <w:instrText>ADDIN CSL_CITATION {"citationItems":[{"id":"ITEM-1","itemData":{"URL":"https://money.kompas.com/read/2023/06/05/194032226/bsi-error-kena-ransomware-wamen-bumn-data-diretas-dari-komputer-kantor-cabang","abstract":"JAKARTA, KOMPAS.com - Bank Syariah Indonesia (BSI) terkena serangan ransomware yang membuat sistem layanan perbankannya mengalami gangguan pada Senin (8/5/2023). Wakil Menteri BUMN Kartika Wirjoatmodjo atau biasa disapa Tiko mengatakan, data yang terkena serangan ransomware terjadi di komputer-komputer di kantor cabang BSI. \"Jadi BSI ini memang ada serangan ransomware. Tapi sampai saat ini yg kami ketahui, data yang keretas ini data di level PC (komputer) pekerja. Jadi kami belum melihat, belum dilaporkan mengenai kebocoran data di level core banking,\" kata Tiko usai rapat kerja dengan Komisi VI DPR di Kompleks Parlemen, Senayan, Jakarta, Senin (5/6/2023). \"PC di cabang-cabang itu, komputer kalau di cabang-cabang lama kan masih PC-PC lama,\" sambungnya. /2023/06/05/194032226/bsi-error-kena-ransomware-wamen-bumn-data-diretas-dari-komputer-kantor-cabang. Kompascom+ baca berita tanpa iklan: https://kmp.im/plus6 Download aplikasi: https://kmp.im/app6","accessed":{"date-parts":[["2024","6","7"]]},"author":[{"dropping-particle":"","family":"Ika Aprilia","given":"Puspa Sari Haryanti","non-dropping-particle":"","parse-names":false,"suffix":""}],"container-title":"Kompas.com","id":"ITEM-1","issued":{"date-parts":[["2023"]]},"title":"BSI \"Error\" Kena \"Ransomware\", Wamen BUMN: Data Diretas dari Komputer Kantor Cabang","type":"webpage"},"uris":["http://www.mendeley.com/documents/?uuid=b7291a92-d1e9-48b4-a090-4a86d38ee56c"]}],"mendeley":{"formattedCitation":"[3]","plainTextFormattedCitation":"[3]","previouslyFormattedCitation":"[3]"},"properties":{"noteIndex":0},"schema":"https://github.com/citation-style-language/schema/raw/master/csl-citation.json"}</w:instrText>
      </w:r>
      <w:r w:rsidRPr="008A359D">
        <w:rPr>
          <w:sz w:val="20"/>
          <w:szCs w:val="20"/>
        </w:rPr>
        <w:fldChar w:fldCharType="separate"/>
      </w:r>
      <w:r w:rsidRPr="008A359D">
        <w:rPr>
          <w:noProof/>
          <w:sz w:val="20"/>
          <w:szCs w:val="20"/>
        </w:rPr>
        <w:t>[3]</w:t>
      </w:r>
      <w:r w:rsidRPr="008A359D">
        <w:rPr>
          <w:sz w:val="20"/>
          <w:szCs w:val="20"/>
        </w:rPr>
        <w:fldChar w:fldCharType="end"/>
      </w:r>
      <w:r w:rsidRPr="008A359D">
        <w:rPr>
          <w:sz w:val="20"/>
          <w:szCs w:val="20"/>
        </w:rPr>
        <w:t xml:space="preserve">. Ransomware adalah jenis serangan malware yang meminta tebusan dengan mengancam akan mempublikasikan data pribadi korban atau memblokir akses secara permanen </w:t>
      </w:r>
      <w:r w:rsidRPr="008A359D">
        <w:rPr>
          <w:sz w:val="20"/>
          <w:szCs w:val="20"/>
        </w:rPr>
        <w:fldChar w:fldCharType="begin" w:fldLock="1"/>
      </w:r>
      <w:r w:rsidRPr="008A359D">
        <w:rPr>
          <w:sz w:val="20"/>
          <w:szCs w:val="20"/>
        </w:rPr>
        <w:instrText>ADDIN CSL_CITATION {"citationItems":[{"id":"ITEM-1","itemData":{"URL":"https://www.britannica.com/technology/ransomware","abstract":"Ransomware , perangkat lunak berbahaya ( malware ) yang secara permanen memblokir akses ke data atau perangkat hingga pemilik data membayar uang tebusan. Ransomware umumnya bekerja dengan mendapatkan akses ke sistem komputer sebagai virus kuda Trojan dan mengenkripsi file sistem sehingga tidak dapat diakses tanpa kunci dekripsi ( lihat juga virus komputer ). Program tersebut kemudian menuntut pembayaran dalam bentuk mata uang kripto yang sulit dilacak , seperti Bitcoin . Istilah teknis untuk metode pemerasan ini adalah cryptoviral extortion .","accessed":{"date-parts":[["2024","6","7"]]},"author":[{"dropping-particle":"","family":"Volle","given":"Adam","non-dropping-particle":"","parse-names":false,"suffix":""}],"container-title":"Britannica","id":"ITEM-1","issued":{"date-parts":[["2024"]]},"title":"Ransomware perangkat lunak perusak","type":"webpage"},"uris":["http://www.mendeley.com/documents/?uuid=96262f40-ac50-4a66-8f7c-05127e5f7091"]}],"mendeley":{"formattedCitation":"[4]","plainTextFormattedCitation":"[4]","previouslyFormattedCitation":"[4]"},"properties":{"noteIndex":0},"schema":"https://github.com/citation-style-language/schema/raw/master/csl-citation.json"}</w:instrText>
      </w:r>
      <w:r w:rsidRPr="008A359D">
        <w:rPr>
          <w:sz w:val="20"/>
          <w:szCs w:val="20"/>
        </w:rPr>
        <w:fldChar w:fldCharType="separate"/>
      </w:r>
      <w:r w:rsidRPr="008A359D">
        <w:rPr>
          <w:noProof/>
          <w:sz w:val="20"/>
          <w:szCs w:val="20"/>
        </w:rPr>
        <w:t>[4]</w:t>
      </w:r>
      <w:r w:rsidRPr="008A359D">
        <w:rPr>
          <w:sz w:val="20"/>
          <w:szCs w:val="20"/>
        </w:rPr>
        <w:fldChar w:fldCharType="end"/>
      </w:r>
      <w:r w:rsidRPr="008A359D">
        <w:rPr>
          <w:sz w:val="20"/>
          <w:szCs w:val="20"/>
        </w:rPr>
        <w:t xml:space="preserve">. Serangan cyber terhadap BSI ini menyebabkan ketidaknyamanan nasabah bank karena nasabah tidak dapat mengakses layanan perbankan seperti ATM dan m-banking selama beberapa hari </w:t>
      </w:r>
      <w:r w:rsidRPr="008A359D">
        <w:rPr>
          <w:sz w:val="20"/>
          <w:szCs w:val="20"/>
        </w:rPr>
        <w:fldChar w:fldCharType="begin" w:fldLock="1"/>
      </w:r>
      <w:r w:rsidRPr="008A359D">
        <w:rPr>
          <w:sz w:val="20"/>
          <w:szCs w:val="20"/>
        </w:rPr>
        <w:instrText>ADDIN CSL_CITATION {"citationItems":[{"id":"ITEM-1","itemData":{"URL":"https://www.cnnindonesia.com/teknologi/20230511084123-192-948087/kronologi-dugaan-serangan-siber-terhadap-bsi-transaksi-sempat-lumpuh","abstract":"Layanan Bank Syariah Indonesia (BSI) mengalami gangguan sejak Senin (8/5) dan hingga kini masih bermasalah. Serangan siber disinyalir jadi biang keladinya. Simak kronologinya. Mulanya, para nasabah mengeluhkan sulit atau bahkan tak bisa mengakses layanan perbankan BSI, baik ATM maupun mobile banking (m-banking), sejak Senin (8/5). Sejumlah nasabah mengeluhkan tidak bisa menarik uang seharian pun trending di media sosial. Padahal, mereka berharap bisa mengakses mesin karena mobile banking error.","accessed":{"date-parts":[["2024","6","7"]]},"author":[{"dropping-particle":"","family":"Indonesia","given":"CNN","non-dropping-particle":"","parse-names":false,"suffix":""}],"container-title":"CNN Indonesia","id":"ITEM-1","issued":{"date-parts":[["2023"]]},"title":"Kronologi Dugaan Serangan Siber Terhadap BSI, Transaksi Sempat Lumpuh","type":"webpage"},"uris":["http://www.mendeley.com/documents/?uuid=e500579e-fb9a-493b-bfee-bc5daee5f15a"]}],"mendeley":{"formattedCitation":"[5]","plainTextFormattedCitation":"[5]","previouslyFormattedCitation":"[5]"},"properties":{"noteIndex":0},"schema":"https://github.com/citation-style-language/schema/raw/master/csl-citation.json"}</w:instrText>
      </w:r>
      <w:r w:rsidRPr="008A359D">
        <w:rPr>
          <w:sz w:val="20"/>
          <w:szCs w:val="20"/>
        </w:rPr>
        <w:fldChar w:fldCharType="separate"/>
      </w:r>
      <w:r w:rsidRPr="008A359D">
        <w:rPr>
          <w:noProof/>
          <w:sz w:val="20"/>
          <w:szCs w:val="20"/>
        </w:rPr>
        <w:t>[5]</w:t>
      </w:r>
      <w:r w:rsidRPr="008A359D">
        <w:rPr>
          <w:sz w:val="20"/>
          <w:szCs w:val="20"/>
        </w:rPr>
        <w:fldChar w:fldCharType="end"/>
      </w:r>
      <w:r w:rsidRPr="008A359D">
        <w:rPr>
          <w:sz w:val="20"/>
          <w:szCs w:val="20"/>
        </w:rPr>
        <w:t xml:space="preserve">. Ketidaknyamanan ini dirasakan oleh semua nasabah bank terutama nasabah yang melakukan kegiatan transaksi jual beli dengan BSI sebagai bank utama mereka. Mereka hampir tidak bisa berkutik karena sebagian besar dananya mereka simpan di rekening BSI </w:t>
      </w:r>
      <w:r w:rsidRPr="008A359D">
        <w:rPr>
          <w:sz w:val="20"/>
          <w:szCs w:val="20"/>
        </w:rPr>
        <w:fldChar w:fldCharType="begin" w:fldLock="1"/>
      </w:r>
      <w:r w:rsidRPr="008A359D">
        <w:rPr>
          <w:sz w:val="20"/>
          <w:szCs w:val="20"/>
        </w:rPr>
        <w:instrText>ADDIN CSL_CITATION {"citationItems":[{"id":"ITEM-1","itemData":{"URL":"https://www.kompas.tv/ekonomi/405655/repotnya-nasabah-saat-bsi-gangguan-sampai-beralih-buka-rekening-bank-lain?page=all","abstract":"Gangguan layanan Bank Syariah Mandiri (BSM) yang terjadi sejak Senin (8/5/2023) lalu masih terjadi hingga sekarang, Kamis (11/5/2023) pagi. Afra Afifah (35) seorang pedagang online mengaku, para agen penjual dan pelanggannya masih tidak bisa mengakses ATM BSI. Afra juga masih tidak bisa bertransaksi menggunakan aplikasi mobile banking BSI miliknya. Kepada Kompas TV, Afra bercerita sebenarnya dirinya punya beberapa rekening. Namun pada Senin kemarin, posisi uangnya untuk berjualan sebagian besar berada di rekening BSI. Nilainya mencapai puluhan juta rupiah. Maka, ketika layanan BSI bermasalah, Afra pun kelimpungan. \"Jadinya mau transfer-transfer ke supplier kan jadi tertunda. Otomatis barang ya enggak bisa cepat sampai. Lama juga aku dapat duitnya,\" kata Afra saat dihubungi, Kamis (11/5). \"Aku pikir sudah pulih kemarin. Karena kemarin pagi sempat bisa memang. Pas bisa itu, aku transfer deh pecah duit ke beberapa rekening lain yang aku punya selain BSI. Eh enggak tahunya abis itu error lagi,\" tambahnya. Ia pun menyesal kenapa tidak langsung mengosongkan rekening BSI nya saat itu juga. Apalagi suami Afra hanya memiliki rekening BSI. Otomatis selama 4 hari ini, Afra meminjamkan uangnya kepada suaminya. Tak yakin kapan gangguan selesai diperbaiki, Afra pun memutuskan membuka rekening baru di Bank Muamalat. \"Ya jadinya aku buka rekening baru di Muamalat dan rekeningku di BCA Syariah yang selama ini aku pakai buat tabungan pribadi. Jadi aku open public juga,\" ujarnya. Afra pun mencoba mengambil pelajaran dari peristiswa ini, yakni jangan menempatkan mayoritas atau semua uangnya di satu rekening. Apalagi untuk keperluan berbisnis. \"Aku juga enggak bisa dapat duit dari customer yang punya rekeningnya di BSI doang. Ya otomatis terganggu banget lah. Belum lagi bayaran sekolah anak dan rekeningnya yang cuma BSI,\" tuturnya. Selain Afra, ada juga cerita Pradany Hayyu (36) yang kini terus memantau media sosial BSI. Pasalnya, uang tunai yang ia pegang sudah menipis. Dan semua uangnya untuk kebutuhan sehari-hari ada di rekening BSI. \"Mati gaya aku. Soalnya duit belanja di sana semua. Ini kebantu masih ada cash dikit,\" kata Hayyu kepada Kompas TV.","accessed":{"date-parts":[["2024","6","6"]]},"author":[{"dropping-particle":"","family":"TV","given":"Kompas","non-dropping-particle":"","parse-names":false,"suffix":""}],"container-title":"Kompas TV","id":"ITEM-1","issued":{"date-parts":[["2023"]]},"title":"Repotnya Nasabah Saat BSI Gangguan, Sampai Beralih Buka Rekening Bank Lain","type":"webpage"},"uris":["http://www.mendeley.com/documents/?uuid=0d37c06d-1a8d-43b8-9756-00389ce8a6f1"]}],"mendeley":{"formattedCitation":"[6]","plainTextFormattedCitation":"[6]","previouslyFormattedCitation":"[6]"},"properties":{"noteIndex":0},"schema":"https://github.com/citation-style-language/schema/raw/master/csl-citation.json"}</w:instrText>
      </w:r>
      <w:r w:rsidRPr="008A359D">
        <w:rPr>
          <w:sz w:val="20"/>
          <w:szCs w:val="20"/>
        </w:rPr>
        <w:fldChar w:fldCharType="separate"/>
      </w:r>
      <w:r w:rsidRPr="008A359D">
        <w:rPr>
          <w:noProof/>
          <w:sz w:val="20"/>
          <w:szCs w:val="20"/>
        </w:rPr>
        <w:t>[6]</w:t>
      </w:r>
      <w:r w:rsidRPr="008A359D">
        <w:rPr>
          <w:sz w:val="20"/>
          <w:szCs w:val="20"/>
        </w:rPr>
        <w:fldChar w:fldCharType="end"/>
      </w:r>
      <w:r w:rsidRPr="008A359D">
        <w:rPr>
          <w:sz w:val="20"/>
          <w:szCs w:val="20"/>
        </w:rPr>
        <w:t xml:space="preserve">. Serangan ini juga menimbulkan kerugian finansial yang signifikan bagi bank serta merusak reputasi BSI dalam jangka panjang yang sulit diprediksi </w:t>
      </w:r>
      <w:r w:rsidRPr="008A359D">
        <w:rPr>
          <w:sz w:val="20"/>
          <w:szCs w:val="20"/>
        </w:rPr>
        <w:fldChar w:fldCharType="begin" w:fldLock="1"/>
      </w:r>
      <w:r w:rsidRPr="008A359D">
        <w:rPr>
          <w:sz w:val="20"/>
          <w:szCs w:val="20"/>
        </w:rPr>
        <w:instrText>ADDIN CSL_CITATION {"citationItems":[{"id":"ITEM-1","itemData":{"URL":"https://www.inixindo.id/serangan-ransomware-menghantui-bank-bsi-pelajaran-penting-dalam-keamanan-cyber/","abstract":"Pada bulan ini, industri perbankan dikejutkan oleh serangan ransomware yang menimpa salah satu bank terkemuka, Bank BSI. Serangan tersebut telah menimbulkan kekhawatiran yang serius tidak hanya di kalangan nasabah Bank BSI, tetapi juga di seluruh dunia perbankan. Insiden ini menegaskan pentingnya penguatan keamanan cyber bagi lembaga keuangan, serta perluasan langkah-langkah pencegahan dan pemulihan saat menghadapi ancaman serupa di masa depan. Artikel ini akan menganalisis serangan ransomware terhadap Bank BSI, mengidentifikasi faktor-faktor penyebabnya, dan mengeksplorasi langkah-langkah yang perlu diambil oleh bank-bank lain untuk melindungi aset digital mereka. 1. Pengenalan Bank BSI dan Serangan Ransomware Bank BSI, sebuah bank yang telah beroperasi selama lebih dari 50 tahun, dikenal sebagai salah satu institusi keuangan terkemuka dalam industri perbankan. Dalam serangan ransomware yang terjadi baru-baru ini, sistem IT Bank BSI diretas oleh para penyerang yang menggunakan metode serangan canggih untuk mengenkripsi data sensitif dan meminta tebusan dalam bentuk mata uang kripto. 2. Faktor-faktor Penyebab Serangan Serangan ransomware terhadap Bank BSI dapat dikaitkan dengan beberapa faktor penyebab, termasuk kelemahan dalam infrastruktur IT, kurangnya pembaruan perangkat lunak, serta rendahnya kesadaran keamanan dalam organisasi. Penelusuran lebih lanjut mengenai serangan ini masih berlangsung, namun langkah-langkah yang telah diambil oleh Bank BSI sebelum serangan terjadi mungkin juga perlu diperiksa. 3. Dampak dan Konsekuensi Serangan Serangan ransomware terhadap Bank BSI menyebabkan ketidaknyamanan dan kerugian bagi nasabah bank serta menimbulkan kerugian finansial yang signifikan. Selain itu, reputasi Bank BSI juga terkena imbas negatif akibat serangan ini, dengan potensi dampak jangka panjang yang sulit diukur. Serangan ini menegaskan urgensi perlunya bank-bank untuk meningkatkan keamanan mereka dan melibatkan pihak berwenang serta ahli keamanan siber dalam langkah-langkah pencegahan yang lebih efektif.","accessed":{"date-parts":[["2024","6","6"]]},"author":[{"dropping-particle":"","family":"Prastyo","given":"Hadi","non-dropping-particle":"","parse-names":false,"suffix":""}],"container-title":"inixindo.id","id":"ITEM-1","issued":{"date-parts":[["2023"]]},"title":"Serangan Ransomware Menghantui Bank BSI Pelajaran Penting dalam Keamanan Cyber","type":"webpage"},"uris":["http://www.mendeley.com/documents/?uuid=37d396e2-94b1-4d4d-8b8f-8ddb8fec6899"]}],"mendeley":{"formattedCitation":"[7]","plainTextFormattedCitation":"[7]","previouslyFormattedCitation":"[7]"},"properties":{"noteIndex":0},"schema":"https://github.com/citation-style-language/schema/raw/master/csl-citation.json"}</w:instrText>
      </w:r>
      <w:r w:rsidRPr="008A359D">
        <w:rPr>
          <w:sz w:val="20"/>
          <w:szCs w:val="20"/>
        </w:rPr>
        <w:fldChar w:fldCharType="separate"/>
      </w:r>
      <w:r w:rsidRPr="008A359D">
        <w:rPr>
          <w:noProof/>
          <w:sz w:val="20"/>
          <w:szCs w:val="20"/>
        </w:rPr>
        <w:t>[7]</w:t>
      </w:r>
      <w:r w:rsidRPr="008A359D">
        <w:rPr>
          <w:sz w:val="20"/>
          <w:szCs w:val="20"/>
        </w:rPr>
        <w:fldChar w:fldCharType="end"/>
      </w:r>
      <w:r w:rsidRPr="008A359D">
        <w:rPr>
          <w:sz w:val="20"/>
          <w:szCs w:val="20"/>
        </w:rPr>
        <w:t xml:space="preserve">. </w:t>
      </w:r>
    </w:p>
    <w:p w:rsidR="00816C00" w:rsidRPr="008A359D" w:rsidRDefault="00816C00" w:rsidP="00816C00">
      <w:pPr>
        <w:pBdr>
          <w:top w:val="nil"/>
          <w:left w:val="nil"/>
          <w:bottom w:val="nil"/>
          <w:right w:val="nil"/>
          <w:between w:val="nil"/>
        </w:pBdr>
        <w:ind w:firstLine="288"/>
        <w:jc w:val="both"/>
        <w:rPr>
          <w:sz w:val="20"/>
          <w:szCs w:val="20"/>
        </w:rPr>
      </w:pPr>
    </w:p>
    <w:p w:rsidR="00816C00" w:rsidRDefault="00816C00" w:rsidP="00816C00">
      <w:pPr>
        <w:pBdr>
          <w:top w:val="nil"/>
          <w:left w:val="nil"/>
          <w:bottom w:val="nil"/>
          <w:right w:val="nil"/>
          <w:between w:val="nil"/>
        </w:pBdr>
        <w:ind w:firstLine="288"/>
        <w:jc w:val="both"/>
        <w:rPr>
          <w:sz w:val="20"/>
          <w:szCs w:val="20"/>
        </w:rPr>
      </w:pPr>
    </w:p>
    <w:p w:rsidR="00816C00" w:rsidRPr="008A359D" w:rsidRDefault="00816C00" w:rsidP="00816C00">
      <w:pPr>
        <w:pBdr>
          <w:top w:val="nil"/>
          <w:left w:val="nil"/>
          <w:bottom w:val="nil"/>
          <w:right w:val="nil"/>
          <w:between w:val="nil"/>
        </w:pBdr>
        <w:ind w:firstLine="288"/>
        <w:jc w:val="both"/>
        <w:rPr>
          <w:sz w:val="20"/>
          <w:szCs w:val="20"/>
        </w:rPr>
      </w:pPr>
    </w:p>
    <w:p w:rsidR="00816C00" w:rsidRPr="008A359D" w:rsidRDefault="00816C00" w:rsidP="00816C00">
      <w:pPr>
        <w:pBdr>
          <w:top w:val="nil"/>
          <w:left w:val="nil"/>
          <w:bottom w:val="nil"/>
          <w:right w:val="nil"/>
          <w:between w:val="nil"/>
        </w:pBdr>
        <w:ind w:firstLine="288"/>
        <w:jc w:val="both"/>
        <w:rPr>
          <w:sz w:val="20"/>
          <w:szCs w:val="20"/>
        </w:rPr>
      </w:pPr>
    </w:p>
    <w:p w:rsidR="00816C00" w:rsidRPr="008A359D" w:rsidRDefault="00816C00" w:rsidP="00816C00">
      <w:pPr>
        <w:ind w:firstLine="709"/>
        <w:jc w:val="center"/>
        <w:rPr>
          <w:sz w:val="20"/>
          <w:szCs w:val="20"/>
        </w:rPr>
      </w:pPr>
      <w:r w:rsidRPr="008A359D">
        <w:rPr>
          <w:sz w:val="20"/>
          <w:szCs w:val="20"/>
        </w:rPr>
        <w:lastRenderedPageBreak/>
        <w:t>Tabel 1. Data Keuangan Bank Syariah Indonesia Bulan April 2023 dan Mei 2023</w:t>
      </w:r>
    </w:p>
    <w:p w:rsidR="00816C00" w:rsidRPr="008A359D" w:rsidRDefault="00816C00" w:rsidP="00816C00">
      <w:pPr>
        <w:ind w:firstLine="709"/>
        <w:jc w:val="center"/>
        <w:rPr>
          <w:sz w:val="20"/>
          <w:szCs w:val="20"/>
        </w:rPr>
      </w:pPr>
      <w:r w:rsidRPr="008A359D">
        <w:rPr>
          <w:sz w:val="20"/>
          <w:szCs w:val="20"/>
        </w:rPr>
        <w:t>(Dalam Jutaan Rupiah)</w:t>
      </w:r>
    </w:p>
    <w:tbl>
      <w:tblPr>
        <w:tblStyle w:val="TableGrid"/>
        <w:tblW w:w="0" w:type="auto"/>
        <w:tblInd w:w="239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637"/>
        <w:gridCol w:w="1258"/>
      </w:tblGrid>
      <w:tr w:rsidR="00816C00" w:rsidRPr="008A359D" w:rsidTr="00581DB9">
        <w:tc>
          <w:tcPr>
            <w:tcW w:w="1335" w:type="dxa"/>
            <w:tcBorders>
              <w:top w:val="single" w:sz="4" w:space="0" w:color="auto"/>
              <w:bottom w:val="single" w:sz="4" w:space="0" w:color="auto"/>
            </w:tcBorders>
          </w:tcPr>
          <w:p w:rsidR="00816C00" w:rsidRPr="008A359D" w:rsidRDefault="00816C00" w:rsidP="00581DB9">
            <w:pPr>
              <w:jc w:val="center"/>
              <w:rPr>
                <w:sz w:val="20"/>
                <w:szCs w:val="20"/>
              </w:rPr>
            </w:pPr>
            <w:proofErr w:type="spellStart"/>
            <w:r w:rsidRPr="008A359D">
              <w:rPr>
                <w:sz w:val="20"/>
                <w:szCs w:val="20"/>
              </w:rPr>
              <w:t>Keterangan</w:t>
            </w:r>
            <w:proofErr w:type="spellEnd"/>
          </w:p>
        </w:tc>
        <w:tc>
          <w:tcPr>
            <w:tcW w:w="1637" w:type="dxa"/>
            <w:tcBorders>
              <w:top w:val="single" w:sz="4" w:space="0" w:color="auto"/>
              <w:bottom w:val="single" w:sz="4" w:space="0" w:color="auto"/>
            </w:tcBorders>
          </w:tcPr>
          <w:p w:rsidR="00816C00" w:rsidRPr="008A359D" w:rsidRDefault="00816C00" w:rsidP="00581DB9">
            <w:pPr>
              <w:jc w:val="center"/>
              <w:rPr>
                <w:sz w:val="20"/>
                <w:szCs w:val="20"/>
              </w:rPr>
            </w:pPr>
            <w:r w:rsidRPr="008A359D">
              <w:rPr>
                <w:sz w:val="20"/>
                <w:szCs w:val="20"/>
              </w:rPr>
              <w:t>Aset</w:t>
            </w:r>
          </w:p>
        </w:tc>
        <w:tc>
          <w:tcPr>
            <w:tcW w:w="1258" w:type="dxa"/>
            <w:tcBorders>
              <w:top w:val="single" w:sz="4" w:space="0" w:color="auto"/>
              <w:bottom w:val="single" w:sz="4" w:space="0" w:color="auto"/>
            </w:tcBorders>
          </w:tcPr>
          <w:p w:rsidR="00816C00" w:rsidRPr="008A359D" w:rsidRDefault="00816C00" w:rsidP="00581DB9">
            <w:pPr>
              <w:jc w:val="center"/>
              <w:rPr>
                <w:sz w:val="20"/>
                <w:szCs w:val="20"/>
              </w:rPr>
            </w:pPr>
            <w:r w:rsidRPr="008A359D">
              <w:rPr>
                <w:sz w:val="20"/>
                <w:szCs w:val="20"/>
              </w:rPr>
              <w:t>Laba</w:t>
            </w:r>
          </w:p>
        </w:tc>
      </w:tr>
      <w:tr w:rsidR="00816C00" w:rsidRPr="008A359D" w:rsidTr="005C03F6">
        <w:tc>
          <w:tcPr>
            <w:tcW w:w="1335" w:type="dxa"/>
            <w:tcBorders>
              <w:top w:val="single" w:sz="4" w:space="0" w:color="auto"/>
              <w:bottom w:val="nil"/>
            </w:tcBorders>
          </w:tcPr>
          <w:p w:rsidR="00816C00" w:rsidRPr="008A359D" w:rsidRDefault="00816C00" w:rsidP="00581DB9">
            <w:pPr>
              <w:jc w:val="both"/>
              <w:rPr>
                <w:sz w:val="20"/>
                <w:szCs w:val="20"/>
              </w:rPr>
            </w:pPr>
            <w:r w:rsidRPr="008A359D">
              <w:rPr>
                <w:sz w:val="20"/>
                <w:szCs w:val="20"/>
              </w:rPr>
              <w:t>April 2023</w:t>
            </w:r>
          </w:p>
        </w:tc>
        <w:tc>
          <w:tcPr>
            <w:tcW w:w="1637" w:type="dxa"/>
            <w:tcBorders>
              <w:top w:val="single" w:sz="4" w:space="0" w:color="auto"/>
              <w:bottom w:val="nil"/>
            </w:tcBorders>
          </w:tcPr>
          <w:p w:rsidR="00816C00" w:rsidRPr="008A359D" w:rsidRDefault="00816C00" w:rsidP="00581DB9">
            <w:pPr>
              <w:jc w:val="right"/>
              <w:rPr>
                <w:sz w:val="20"/>
                <w:szCs w:val="20"/>
              </w:rPr>
            </w:pPr>
            <w:r w:rsidRPr="008A359D">
              <w:rPr>
                <w:sz w:val="20"/>
                <w:szCs w:val="20"/>
              </w:rPr>
              <w:t>313.260.138</w:t>
            </w:r>
          </w:p>
        </w:tc>
        <w:tc>
          <w:tcPr>
            <w:tcW w:w="1258" w:type="dxa"/>
            <w:tcBorders>
              <w:top w:val="single" w:sz="4" w:space="0" w:color="auto"/>
              <w:bottom w:val="nil"/>
            </w:tcBorders>
          </w:tcPr>
          <w:p w:rsidR="00816C00" w:rsidRPr="008A359D" w:rsidRDefault="00816C00" w:rsidP="00581DB9">
            <w:pPr>
              <w:jc w:val="right"/>
              <w:rPr>
                <w:sz w:val="20"/>
                <w:szCs w:val="20"/>
              </w:rPr>
            </w:pPr>
            <w:r w:rsidRPr="008A359D">
              <w:rPr>
                <w:sz w:val="20"/>
                <w:szCs w:val="20"/>
              </w:rPr>
              <w:t>2.571.591</w:t>
            </w:r>
          </w:p>
        </w:tc>
      </w:tr>
      <w:tr w:rsidR="00816C00" w:rsidRPr="008A359D" w:rsidTr="005C03F6">
        <w:tc>
          <w:tcPr>
            <w:tcW w:w="1335" w:type="dxa"/>
            <w:tcBorders>
              <w:top w:val="nil"/>
              <w:bottom w:val="nil"/>
            </w:tcBorders>
          </w:tcPr>
          <w:p w:rsidR="00816C00" w:rsidRPr="008A359D" w:rsidRDefault="00816C00" w:rsidP="00581DB9">
            <w:pPr>
              <w:jc w:val="both"/>
              <w:rPr>
                <w:sz w:val="20"/>
                <w:szCs w:val="20"/>
              </w:rPr>
            </w:pPr>
            <w:r w:rsidRPr="008A359D">
              <w:rPr>
                <w:sz w:val="20"/>
                <w:szCs w:val="20"/>
              </w:rPr>
              <w:t>Mei 2023</w:t>
            </w:r>
          </w:p>
        </w:tc>
        <w:tc>
          <w:tcPr>
            <w:tcW w:w="1637" w:type="dxa"/>
            <w:tcBorders>
              <w:top w:val="nil"/>
              <w:bottom w:val="nil"/>
            </w:tcBorders>
          </w:tcPr>
          <w:p w:rsidR="00816C00" w:rsidRPr="008A359D" w:rsidRDefault="00816C00" w:rsidP="00581DB9">
            <w:pPr>
              <w:jc w:val="right"/>
              <w:rPr>
                <w:sz w:val="20"/>
                <w:szCs w:val="20"/>
              </w:rPr>
            </w:pPr>
            <w:r w:rsidRPr="008A359D">
              <w:rPr>
                <w:sz w:val="20"/>
                <w:szCs w:val="20"/>
              </w:rPr>
              <w:t>310.600.154</w:t>
            </w:r>
          </w:p>
        </w:tc>
        <w:tc>
          <w:tcPr>
            <w:tcW w:w="1258" w:type="dxa"/>
            <w:tcBorders>
              <w:top w:val="nil"/>
              <w:bottom w:val="nil"/>
            </w:tcBorders>
          </w:tcPr>
          <w:p w:rsidR="00816C00" w:rsidRPr="008A359D" w:rsidRDefault="00816C00" w:rsidP="00581DB9">
            <w:pPr>
              <w:jc w:val="right"/>
              <w:rPr>
                <w:sz w:val="20"/>
                <w:szCs w:val="20"/>
              </w:rPr>
            </w:pPr>
            <w:r w:rsidRPr="008A359D">
              <w:rPr>
                <w:sz w:val="20"/>
                <w:szCs w:val="20"/>
              </w:rPr>
              <w:t>3.087.973</w:t>
            </w:r>
          </w:p>
        </w:tc>
      </w:tr>
      <w:tr w:rsidR="00816C00" w:rsidRPr="008A359D" w:rsidTr="005C03F6">
        <w:tc>
          <w:tcPr>
            <w:tcW w:w="1335" w:type="dxa"/>
            <w:tcBorders>
              <w:top w:val="nil"/>
              <w:bottom w:val="single" w:sz="4" w:space="0" w:color="auto"/>
            </w:tcBorders>
          </w:tcPr>
          <w:p w:rsidR="00816C00" w:rsidRPr="008A359D" w:rsidRDefault="00816C00" w:rsidP="00581DB9">
            <w:pPr>
              <w:jc w:val="both"/>
              <w:rPr>
                <w:sz w:val="20"/>
                <w:szCs w:val="20"/>
              </w:rPr>
            </w:pPr>
            <w:r w:rsidRPr="008A359D">
              <w:rPr>
                <w:sz w:val="20"/>
                <w:szCs w:val="20"/>
              </w:rPr>
              <w:t>+/-</w:t>
            </w:r>
          </w:p>
        </w:tc>
        <w:tc>
          <w:tcPr>
            <w:tcW w:w="1637" w:type="dxa"/>
            <w:tcBorders>
              <w:top w:val="nil"/>
              <w:bottom w:val="single" w:sz="4" w:space="0" w:color="auto"/>
            </w:tcBorders>
          </w:tcPr>
          <w:p w:rsidR="00816C00" w:rsidRPr="008A359D" w:rsidRDefault="00816C00" w:rsidP="00581DB9">
            <w:pPr>
              <w:jc w:val="right"/>
              <w:rPr>
                <w:sz w:val="20"/>
                <w:szCs w:val="20"/>
              </w:rPr>
            </w:pPr>
            <w:r w:rsidRPr="008A359D">
              <w:rPr>
                <w:sz w:val="20"/>
                <w:szCs w:val="20"/>
              </w:rPr>
              <w:t>-2.659.984</w:t>
            </w:r>
          </w:p>
        </w:tc>
        <w:tc>
          <w:tcPr>
            <w:tcW w:w="1258" w:type="dxa"/>
            <w:tcBorders>
              <w:top w:val="nil"/>
              <w:bottom w:val="single" w:sz="4" w:space="0" w:color="auto"/>
            </w:tcBorders>
          </w:tcPr>
          <w:p w:rsidR="00816C00" w:rsidRPr="008A359D" w:rsidRDefault="00816C00" w:rsidP="00581DB9">
            <w:pPr>
              <w:jc w:val="right"/>
              <w:rPr>
                <w:sz w:val="20"/>
                <w:szCs w:val="20"/>
              </w:rPr>
            </w:pPr>
            <w:r w:rsidRPr="008A359D">
              <w:rPr>
                <w:sz w:val="20"/>
                <w:szCs w:val="20"/>
              </w:rPr>
              <w:t>+516.382</w:t>
            </w:r>
          </w:p>
        </w:tc>
      </w:tr>
    </w:tbl>
    <w:p w:rsidR="00816C00" w:rsidRPr="008A359D" w:rsidRDefault="00816C00" w:rsidP="00816C00">
      <w:pPr>
        <w:jc w:val="center"/>
        <w:rPr>
          <w:sz w:val="20"/>
          <w:szCs w:val="20"/>
        </w:rPr>
      </w:pPr>
      <w:r w:rsidRPr="008A359D">
        <w:rPr>
          <w:sz w:val="20"/>
          <w:szCs w:val="20"/>
        </w:rPr>
        <w:t xml:space="preserve">Sumber : Data diolah (2024) </w:t>
      </w:r>
      <w:r w:rsidRPr="008A359D">
        <w:rPr>
          <w:sz w:val="20"/>
          <w:szCs w:val="20"/>
        </w:rPr>
        <w:fldChar w:fldCharType="begin" w:fldLock="1"/>
      </w:r>
      <w:r w:rsidRPr="008A359D">
        <w:rPr>
          <w:sz w:val="20"/>
          <w:szCs w:val="20"/>
        </w:rPr>
        <w:instrText>ADDIN CSL_CITATION {"citationItems":[{"id":"ITEM-1","itemData":{"URL":"bankbsi.co.id","abstract":"Industri perbankan di Indonesia mencatat sejarah baru dengan hadirnya PT Bank Syariah Indonesia Tbk (BSI) yang secara resmi lahir pada 1 Februari 2021 atau 19 Jumadil Akhir 1442 H. Presiden Joko Widodo secara langsung meresmikan Bank Syariah terbesar di Indonesia tersebut di Istana Negara. BSI merupakan bank hasil merger antara PT Bank BRIsyariah Tbk, PT Bank Syariah Mandiri dan PT Bank BNI Syariah. melalui Surat Keputusan Otoritas Jasa Keuangan (OJK) No. 04/KDK.03/2021 secara resmi mengeluarkan izin merger tiga usaha bank syariah tersebut pada 27 Januari 2021. Selanjutnya, pada 1 Februari 2021, Presiden Joko Widodo meresmikan kehadiran BSI. Komposisi pemegang saham BSI adalah: PT Bank Mandiri (Persero) Tbk 50,83%, PT Bank Negara Indonesia (Persero) Tbk 24,85%, PT Bank Rakyat Indonesia (Persero) Tbk 17,25%. Sisanya adalah pemegang saham yang masing-masing di bawah 5%. Penggabungan ini menyatukan kelebihan dari ketiga bank syariah tersebut, sehingga menghadirkan layanan yang lebih lengkap, jangkauan lebih luas, serta memiliki kapasitas permodalan yang lebih baik. Didukung sinergi dengan perusahaan serta komitmen pemerintah melalui Kementerian BUMN, BSI didorong untuk dapat bersaing di tingkat global. BSI merupakan ikhtiar atas lahirnya bank syariah kebanggaan umat, yang diharapkan menjadi energi baru pembangunan ekonomi nasional serta berkontribusi terhadap kesejahteraan masyarakat luas. Keberadaan BSI juga menjadi cermin wajah perbankan Syariah di Indonesia yang modern, universal, dan memberikan kebaikan bagi segenap alam (Rahmatan Lil ‘Aalamiin). Potensi BSI untuk terus berkembang dan menjadi bagian dari kelompok bank syariah terkemuka di tingkat global sangat terbuka. Selain kinerja yang tumbuh positif, dukungan iklim bahwa pemerintah Indonesia memiliki misi lahirnya ekosistem industri halal dan memiliki bank syariah nasional yang besar serta kuat, fakta bahwa Indonesia sebagai negara dengan penduduk muslim terbesar di dunia ikut membuka peluang. Dalam konteks inilah kehadiran BSI menjadi sangat penting. Bukan hanya mampu memainkan peran penting sebagai fasilitator pada seluruh aktivitas ekonomi dalam ekosistem industri halal, tetapi juga sebuah ikhtiar mewujudkan harapan Negeri.","author":[{"dropping-particle":"","family":"Indonesia","given":"Bank Syariah","non-dropping-particle":"","parse-names":false,"suffix":""}],"container-title":"Bank Syariah Indonesia","id":"ITEM-1","issued":{"date-parts":[["2024"]]},"title":"Bank Syariah Indonesia","type":"webpage"},"uris":["http://www.mendeley.com/documents/?uuid=9a8e29a4-1ef3-4817-84b2-43c5e0d1cf78"]}],"mendeley":{"formattedCitation":"[2]","plainTextFormattedCitation":"[2]","previouslyFormattedCitation":"[2]"},"properties":{"noteIndex":0},"schema":"https://github.com/citation-style-language/schema/raw/master/csl-citation.json"}</w:instrText>
      </w:r>
      <w:r w:rsidRPr="008A359D">
        <w:rPr>
          <w:sz w:val="20"/>
          <w:szCs w:val="20"/>
        </w:rPr>
        <w:fldChar w:fldCharType="separate"/>
      </w:r>
      <w:r w:rsidRPr="008A359D">
        <w:rPr>
          <w:noProof/>
          <w:sz w:val="20"/>
          <w:szCs w:val="20"/>
        </w:rPr>
        <w:t>[2]</w:t>
      </w:r>
      <w:r w:rsidRPr="008A359D">
        <w:rPr>
          <w:sz w:val="20"/>
          <w:szCs w:val="20"/>
        </w:rPr>
        <w:fldChar w:fldCharType="end"/>
      </w:r>
    </w:p>
    <w:p w:rsidR="00816C00" w:rsidRPr="008A359D" w:rsidRDefault="00816C00" w:rsidP="00816C00">
      <w:pPr>
        <w:pBdr>
          <w:top w:val="nil"/>
          <w:left w:val="nil"/>
          <w:bottom w:val="nil"/>
          <w:right w:val="nil"/>
          <w:between w:val="nil"/>
        </w:pBdr>
        <w:ind w:firstLine="288"/>
        <w:jc w:val="both"/>
        <w:rPr>
          <w:sz w:val="20"/>
          <w:szCs w:val="20"/>
        </w:rPr>
      </w:pPr>
      <w:r w:rsidRPr="008A359D">
        <w:rPr>
          <w:sz w:val="20"/>
          <w:szCs w:val="20"/>
        </w:rPr>
        <w:t>Data diatas memperlihatkan bahwa aset pada Bank Syariah Indonesia mengalami penurunan pada bulan Mei 2023. Sedangkan pada laba mengalami kenaikan pada bulan Mei 2023. Dari data tersebut dapat diketahui bahwa laporan keuangan dapat menggambarkan performa atau kinerja bank, dan dari laporan ini juga memberikan informasi terkait tingkat kesehatan bank.</w:t>
      </w:r>
    </w:p>
    <w:p w:rsidR="00816C00" w:rsidRPr="008A359D" w:rsidRDefault="00816C00" w:rsidP="00816C00">
      <w:pPr>
        <w:pBdr>
          <w:top w:val="nil"/>
          <w:left w:val="nil"/>
          <w:bottom w:val="nil"/>
          <w:right w:val="nil"/>
          <w:between w:val="nil"/>
        </w:pBdr>
        <w:ind w:firstLine="288"/>
        <w:jc w:val="both"/>
        <w:rPr>
          <w:sz w:val="20"/>
          <w:szCs w:val="20"/>
        </w:rPr>
      </w:pPr>
      <w:r w:rsidRPr="008A359D">
        <w:rPr>
          <w:sz w:val="20"/>
          <w:szCs w:val="20"/>
        </w:rPr>
        <w:t xml:space="preserve">Layaknya aspek lain, kesehatan merupakan hal yang sangat penting bagi keberlangsungan suatu kegiatan. Begitu pula dengan bank, bank sebagai lembaga mediator keuangan harus dalam keadaan sehat agar dapat menjalankan fungsi intermediasinya dengan baik </w:t>
      </w:r>
      <w:r w:rsidRPr="008A359D">
        <w:rPr>
          <w:sz w:val="20"/>
          <w:szCs w:val="20"/>
        </w:rPr>
        <w:fldChar w:fldCharType="begin" w:fldLock="1"/>
      </w:r>
      <w:r w:rsidRPr="008A359D">
        <w:rPr>
          <w:sz w:val="20"/>
          <w:szCs w:val="20"/>
        </w:rPr>
        <w:instrText>ADDIN CSL_CITATION {"citationItems":[{"id":"ITEM-1","itemData":{"DOI":"10.35134/ekobistek.v11i3.331","ISSN":"2527-9483","abstract":"Penelitian ini dilakukan dengan tujuan untuk megetahui tingkat kesehatan bank BSI tahun 2020-2021 dengan menggunakan metode CAMEL dengan berdasarkan Laporan keuangan publiasi tahunan tahun 2021. Analisis dengan metode CAMEL ini terdiri dari analisis terhadap Capital, asset,management, earning, Liquidity dengan menggunakan analisis rasio CAR,NPM,NPL,ROA,BOPO dan LDR. Beradasarkan analisis hasil penelitian yang telah dilakukan pada bank BSI didapatkan analisis rasio CAR tahun 2020 sebesar 17,63%  dan 2021 sebesar 21,99%, melalui analisis ini perbankan dinyatakan sehat, kesehatannya mengalami peningkatan sebesar 4,36%. Analisis menggunakan rasio NPL didapatkan hasil pada tahun 2020 sebesar 1,06%  Sedangkan tahun 2021 sebesar 0,84% hasil ini menunjukkan bank BSI dikategorikan sehat tingkat kesehatannya naik sebesar 0,22% sejalan dengan turunnya nilai rasio NPL. Analisis rasio menggunakan NPM didapatkan hasil pada tahun 2020 sebesar 70,81% sedangkan tahun 2021 sebesar 73,99% hasil ini menunjukkan kinerja bank dikategorikan sehat. Analisis rasio menggunakan ROA pada tahun 2020 didapatkan nilai sebesar 1,25% sedangkan pada tahun 2021 sebesar 1,49%, nilai ini menunjukkan kinerja bank dinyatakan sehat. Analisis menggunakan rasio BOPO mendapatkan hasil pada tahun 2020 sebesar 84,61% sedangkan pada tahun 2021 sebesar 80,46% nilai ini menunjukkan kinerja bank dikategorikan sehat. Dan yang terakhir penilaian menggunakan rasio LDR didapatkan hasil pada tahun 2020 sebesar 74,52% sedangkan pada tahun 2021 sebesar 73,39% nilai ini menunjukkan kinerja bank dinyatakan sehat. Dari kelima rasio yang digunakan empat diantaranya mengalami peningkatan dari 2020 ke tahun 2021, sementara 2 lainnya mengalami penurunan tingkat kesehatan meskipun masih dalam kategori sehat.","author":[{"dropping-particle":"","family":"Umri Hayati","given":"Siti","non-dropping-particle":"","parse-names":false,"suffix":""},{"dropping-particle":"","family":"Tika","given":"Yuliana Ulan","non-dropping-particle":"","parse-names":false,"suffix":""},{"dropping-particle":"","family":"Harahap","given":"Akbar Husein","non-dropping-particle":"","parse-names":false,"suffix":""},{"dropping-particle":"","family":"Hasibuan","given":"Ahmad Fauzul Hakim","non-dropping-particle":"","parse-names":false,"suffix":""}],"container-title":"Jurnal Ekobistek","id":"ITEM-1","issue":"3","issued":{"date-parts":[["2022"]]},"page":"137-142","title":"Analisis Tingkat Kesehatan Bank Syariah Indonesia Menggunakan Metode CAMEL (Tahun 2020-2021)","type":"article-journal","volume":"11"},"uris":["http://www.mendeley.com/documents/?uuid=76286fad-6cac-4829-819e-9d926e7c39bb"]}],"mendeley":{"formattedCitation":"[8]","plainTextFormattedCitation":"[8]","previouslyFormattedCitation":"[8]"},"properties":{"noteIndex":0},"schema":"https://github.com/citation-style-language/schema/raw/master/csl-citation.json"}</w:instrText>
      </w:r>
      <w:r w:rsidRPr="008A359D">
        <w:rPr>
          <w:sz w:val="20"/>
          <w:szCs w:val="20"/>
        </w:rPr>
        <w:fldChar w:fldCharType="separate"/>
      </w:r>
      <w:r w:rsidRPr="008A359D">
        <w:rPr>
          <w:noProof/>
          <w:sz w:val="20"/>
          <w:szCs w:val="20"/>
        </w:rPr>
        <w:t>[8]</w:t>
      </w:r>
      <w:r w:rsidRPr="008A359D">
        <w:rPr>
          <w:sz w:val="20"/>
          <w:szCs w:val="20"/>
        </w:rPr>
        <w:fldChar w:fldCharType="end"/>
      </w:r>
      <w:r w:rsidRPr="008A359D">
        <w:rPr>
          <w:sz w:val="20"/>
          <w:szCs w:val="20"/>
        </w:rPr>
        <w:t xml:space="preserve">. Maka, bank membutuhkan kegiatan untuk mengkaji tingkat kesehatannya dalam jangka waktu tertentu. Kesehatan bank dapat di definisikan sebagai kemampuan dari bank untuk melaksanakan aktivitas perbankan dengan cara yang normal dan bisa menunaikan setiap kewajiban atas dasar peraturan perbankan yang berlaku. Setiap bank wajib memberikan kepastian akan kesehatan banknya karena bisa memberikan pengaruh pada kepercayaan pihak-pihak tertentu, terutama nasabah </w:t>
      </w:r>
      <w:r w:rsidRPr="008A359D">
        <w:rPr>
          <w:sz w:val="20"/>
          <w:szCs w:val="20"/>
        </w:rPr>
        <w:fldChar w:fldCharType="begin" w:fldLock="1"/>
      </w:r>
      <w:r w:rsidRPr="008A359D">
        <w:rPr>
          <w:sz w:val="20"/>
          <w:szCs w:val="20"/>
        </w:rPr>
        <w:instrText>ADDIN CSL_CITATION {"citationItems":[{"id":"ITEM-1","itemData":{"abstract":"… bank BUMN tahun 2017-2021 berdasarkan CAR, NPL, NPM dan BOPO menunjukan bahwa … pada BUMN tahun 2017-2021, menunjukkan bahwa LDR bank dalam kondisi Tidak Sehat. …","author":[{"dropping-particle":"","family":"Ayu","given":"Eva Putri","non-dropping-particle":"","parse-names":false,"suffix":""},{"dropping-particle":"","family":"Nurulrahmatiah","given":"Nafisah","non-dropping-particle":"","parse-names":false,"suffix":""}],"container-title":"J-CEKI : Jurnal Cendekia Ilmiah","id":"ITEM-1","issue":"6","issued":{"date-parts":[["2023"]]},"page":"676–692","title":"Analisis Tingkat Kesehatan Bank dengan Menggunakan Metode CAMEL pada Perbankan BUMN yang terdaftar di BEI Tahun 2017-2021","type":"article-journal","volume":"2"},"uris":["http://www.mendeley.com/documents/?uuid=5ef110f8-8427-4623-a4bd-7e06df9e0319"]}],"mendeley":{"formattedCitation":"[9]","plainTextFormattedCitation":"[9]","previouslyFormattedCitation":"[9]"},"properties":{"noteIndex":0},"schema":"https://github.com/citation-style-language/schema/raw/master/csl-citation.json"}</w:instrText>
      </w:r>
      <w:r w:rsidRPr="008A359D">
        <w:rPr>
          <w:sz w:val="20"/>
          <w:szCs w:val="20"/>
        </w:rPr>
        <w:fldChar w:fldCharType="separate"/>
      </w:r>
      <w:r w:rsidRPr="008A359D">
        <w:rPr>
          <w:noProof/>
          <w:sz w:val="20"/>
          <w:szCs w:val="20"/>
        </w:rPr>
        <w:t>[9]</w:t>
      </w:r>
      <w:r w:rsidRPr="008A359D">
        <w:rPr>
          <w:sz w:val="20"/>
          <w:szCs w:val="20"/>
        </w:rPr>
        <w:fldChar w:fldCharType="end"/>
      </w:r>
      <w:r w:rsidRPr="008A359D">
        <w:rPr>
          <w:sz w:val="20"/>
          <w:szCs w:val="20"/>
        </w:rPr>
        <w:t xml:space="preserve">. Ada lima kriteria yang digunakan untuk menilai tingkat kesehatan bank yaitu sangat sehat, sehat, cukup sehat, kurang sehat, dan tidak sehat </w:t>
      </w:r>
      <w:r w:rsidRPr="008A359D">
        <w:rPr>
          <w:sz w:val="20"/>
          <w:szCs w:val="20"/>
        </w:rPr>
        <w:fldChar w:fldCharType="begin" w:fldLock="1"/>
      </w:r>
      <w:r w:rsidRPr="008A359D">
        <w:rPr>
          <w:sz w:val="20"/>
          <w:szCs w:val="20"/>
        </w:rPr>
        <w:instrText>ADDIN CSL_CITATION {"citationItems":[{"id":"ITEM-1","itemData":{"abstract":"Menimbang: a. bahwa kesehatan bank merupakan sarana bagi otoritas pengawas dalam menetapkan strategi dan fokus pengawasan terhadap bank; b. bahwa perubahan kompleksitas usaha dan profil risiko yang dapat berasal dari bank maupun dari perusahaan anak bank serta perubahan pendekatan penilaian kondisi bank yang diterapkan secara internasional mempengaruhi pendekatan penilaian tingkat kesehatan bank; c. bahwa dalam rangka meningkatkan efektivitas penilaian tingkat kesehatan bank untuk menghadapi perubahan sebagaimana dimaksud pada huruf b diperlukan penyempurnaan penilaian tingkat kesehatan bank dengan pendekatan berdasarkan risiko; d. bahwa penilaian tingkat kesehatan bank juga perlu disesuaikan dengan penerapan pengawasan secara konsolidasi;","author":[{"dropping-particle":"","family":"PBI","given":"","non-dropping-particle":"","parse-names":false,"suffix":""}],"container-title":"Peraturan Bank Indonesia","id":"ITEM-1","issued":{"date-parts":[["2011"]]},"page":"1-31","title":"Peraturan Bank Indonesia No.13/1/PBI/2011 Tentang Penilaian Tingkat Kesehatan Bank Umum","type":"article-journal"},"uris":["http://www.mendeley.com/documents/?uuid=d706ef80-4fd3-4aa0-85bb-7d05413aa34c"]}],"mendeley":{"formattedCitation":"[10]","plainTextFormattedCitation":"[10]","previouslyFormattedCitation":"[10]"},"properties":{"noteIndex":0},"schema":"https://github.com/citation-style-language/schema/raw/master/csl-citation.json"}</w:instrText>
      </w:r>
      <w:r w:rsidRPr="008A359D">
        <w:rPr>
          <w:sz w:val="20"/>
          <w:szCs w:val="20"/>
        </w:rPr>
        <w:fldChar w:fldCharType="separate"/>
      </w:r>
      <w:r w:rsidRPr="008A359D">
        <w:rPr>
          <w:noProof/>
          <w:sz w:val="20"/>
          <w:szCs w:val="20"/>
        </w:rPr>
        <w:t>[10]</w:t>
      </w:r>
      <w:r w:rsidRPr="008A359D">
        <w:rPr>
          <w:sz w:val="20"/>
          <w:szCs w:val="20"/>
        </w:rPr>
        <w:fldChar w:fldCharType="end"/>
      </w:r>
      <w:r w:rsidRPr="008A359D">
        <w:rPr>
          <w:sz w:val="20"/>
          <w:szCs w:val="20"/>
        </w:rPr>
        <w:t>.</w:t>
      </w:r>
    </w:p>
    <w:p w:rsidR="00816C00" w:rsidRPr="008A359D" w:rsidRDefault="00816C00" w:rsidP="00816C00">
      <w:pPr>
        <w:pBdr>
          <w:top w:val="nil"/>
          <w:left w:val="nil"/>
          <w:bottom w:val="nil"/>
          <w:right w:val="nil"/>
          <w:between w:val="nil"/>
        </w:pBdr>
        <w:ind w:firstLine="288"/>
        <w:jc w:val="both"/>
        <w:rPr>
          <w:sz w:val="20"/>
          <w:szCs w:val="20"/>
        </w:rPr>
      </w:pPr>
      <w:r w:rsidRPr="008A359D">
        <w:rPr>
          <w:sz w:val="20"/>
          <w:szCs w:val="20"/>
        </w:rPr>
        <w:t xml:space="preserve">Bank Indonesia sebagai lembaga pengawas perbankan memiliki standar pengawasan dalam melakukan penilaian terhadap tingkat kesehatan suatu bank dalam waktu tertentu. Tingkat kesehatan ialah hasil dari penilaian akan keadaan bank yang dilihat dari risiko dan kinerja suatu bank </w:t>
      </w:r>
      <w:r w:rsidRPr="008A359D">
        <w:rPr>
          <w:sz w:val="20"/>
          <w:szCs w:val="20"/>
        </w:rPr>
        <w:fldChar w:fldCharType="begin" w:fldLock="1"/>
      </w:r>
      <w:r w:rsidRPr="008A359D">
        <w:rPr>
          <w:sz w:val="20"/>
          <w:szCs w:val="20"/>
        </w:rPr>
        <w:instrText>ADDIN CSL_CITATION {"citationItems":[{"id":"ITEM-1","itemData":{"author":[{"dropping-particle":"","family":"Otoritas Jasa Keuangan Republik Indonesia","given":"","non-dropping-particle":"","parse-names":false,"suffix":""}],"container-title":"Otoritas Jasa Keuangan","id":"ITEM-1","issued":{"date-parts":[["2016"]]},"page":"1-27","title":"Penilaian Tingkat Kesehatan Bank Umum Nomor 4/POJK.03/2016","type":"article-journal"},"uris":["http://www.mendeley.com/documents/?uuid=f507684f-2a83-4c12-8421-c7bdf5c2163e"]}],"mendeley":{"formattedCitation":"[11]","plainTextFormattedCitation":"[11]","previouslyFormattedCitation":"[11]"},"properties":{"noteIndex":0},"schema":"https://github.com/citation-style-language/schema/raw/master/csl-citation.json"}</w:instrText>
      </w:r>
      <w:r w:rsidRPr="008A359D">
        <w:rPr>
          <w:sz w:val="20"/>
          <w:szCs w:val="20"/>
        </w:rPr>
        <w:fldChar w:fldCharType="separate"/>
      </w:r>
      <w:r w:rsidRPr="008A359D">
        <w:rPr>
          <w:noProof/>
          <w:sz w:val="20"/>
          <w:szCs w:val="20"/>
        </w:rPr>
        <w:t>[11]</w:t>
      </w:r>
      <w:r w:rsidRPr="008A359D">
        <w:rPr>
          <w:sz w:val="20"/>
          <w:szCs w:val="20"/>
        </w:rPr>
        <w:fldChar w:fldCharType="end"/>
      </w:r>
      <w:r w:rsidRPr="008A359D">
        <w:rPr>
          <w:sz w:val="20"/>
          <w:szCs w:val="20"/>
        </w:rPr>
        <w:t xml:space="preserve">. Penilaian ini bertujuan untuk menentukan kebijakan yang dapat menjaga kelangsungan operasional bank dalam menghadapi persaingan. Penilaian tingkat kesehaan bank diatur dalam Peraturan Bank Indonesia No. 13/1/PBI/2011 </w:t>
      </w:r>
      <w:r w:rsidRPr="008A359D">
        <w:rPr>
          <w:sz w:val="20"/>
          <w:szCs w:val="20"/>
        </w:rPr>
        <w:fldChar w:fldCharType="begin" w:fldLock="1"/>
      </w:r>
      <w:r w:rsidRPr="008A359D">
        <w:rPr>
          <w:sz w:val="20"/>
          <w:szCs w:val="20"/>
        </w:rPr>
        <w:instrText>ADDIN CSL_CITATION {"citationItems":[{"id":"ITEM-1","itemData":{"abstract":"Menimbang: a. bahwa kesehatan bank merupakan sarana bagi otoritas pengawas dalam menetapkan strategi dan fokus pengawasan terhadap bank; b. bahwa perubahan kompleksitas usaha dan profil risiko yang dapat berasal dari bank maupun dari perusahaan anak bank serta perubahan pendekatan penilaian kondisi bank yang diterapkan secara internasional mempengaruhi pendekatan penilaian tingkat kesehatan bank; c. bahwa dalam rangka meningkatkan efektivitas penilaian tingkat kesehatan bank untuk menghadapi perubahan sebagaimana dimaksud pada huruf b diperlukan penyempurnaan penilaian tingkat kesehatan bank dengan pendekatan berdasarkan risiko; d. bahwa penilaian tingkat kesehatan bank juga perlu disesuaikan dengan penerapan pengawasan secara konsolidasi;","author":[{"dropping-particle":"","family":"PBI","given":"","non-dropping-particle":"","parse-names":false,"suffix":""}],"container-title":"Peraturan Bank Indonesia","id":"ITEM-1","issued":{"date-parts":[["2011"]]},"page":"1-31","title":"Peraturan Bank Indonesia No.13/1/PBI/2011 Tentang Penilaian Tingkat Kesehatan Bank Umum","type":"article-journal"},"uris":["http://www.mendeley.com/documents/?uuid=d706ef80-4fd3-4aa0-85bb-7d05413aa34c"]}],"mendeley":{"formattedCitation":"[10]","plainTextFormattedCitation":"[10]","previouslyFormattedCitation":"[10]"},"properties":{"noteIndex":0},"schema":"https://github.com/citation-style-language/schema/raw/master/csl-citation.json"}</w:instrText>
      </w:r>
      <w:r w:rsidRPr="008A359D">
        <w:rPr>
          <w:sz w:val="20"/>
          <w:szCs w:val="20"/>
        </w:rPr>
        <w:fldChar w:fldCharType="separate"/>
      </w:r>
      <w:r w:rsidRPr="008A359D">
        <w:rPr>
          <w:noProof/>
          <w:sz w:val="20"/>
          <w:szCs w:val="20"/>
        </w:rPr>
        <w:t>[10]</w:t>
      </w:r>
      <w:r w:rsidRPr="008A359D">
        <w:rPr>
          <w:sz w:val="20"/>
          <w:szCs w:val="20"/>
        </w:rPr>
        <w:fldChar w:fldCharType="end"/>
      </w:r>
      <w:r w:rsidRPr="008A359D">
        <w:rPr>
          <w:sz w:val="20"/>
          <w:szCs w:val="20"/>
        </w:rPr>
        <w:t xml:space="preserve">. Dalam pengawasannya, Bank Indonesia telah menetapkan CAMEL sebagai alat ukur resmi untuk penilaian tingkat kesehatan bank </w:t>
      </w:r>
      <w:r w:rsidRPr="008A359D">
        <w:rPr>
          <w:sz w:val="20"/>
          <w:szCs w:val="20"/>
        </w:rPr>
        <w:fldChar w:fldCharType="begin" w:fldLock="1"/>
      </w:r>
      <w:r w:rsidRPr="008A359D">
        <w:rPr>
          <w:sz w:val="20"/>
          <w:szCs w:val="20"/>
        </w:rPr>
        <w:instrText>ADDIN CSL_CITATION {"citationItems":[{"id":"ITEM-1","itemData":{"author":[{"dropping-particle":"","family":"Ogesta","given":"One Twelvi","non-dropping-particle":"","parse-names":false,"suffix":""},{"dropping-particle":"","family":"Astria","given":"Eka","non-dropping-particle":"","parse-names":false,"suffix":""},{"dropping-particle":"","family":"Qalbi","given":"Andi Nurul","non-dropping-particle":"","parse-names":false,"suffix":""},{"dropping-particle":"","family":"Pasang","given":"Selvianti","non-dropping-particle":"","parse-names":false,"suffix":""},{"dropping-particle":"","family":"Mursadila","given":"Mursadila","non-dropping-particle":"","parse-names":false,"suffix":""}],"id":"ITEM-1","issue":"1","issued":{"date-parts":[["2023"]]},"page":"16-23","title":"Kesehatan Bank Dengan Menggunakan Metode Camel ( Studi Kasus Pada Pt Bank Mega Syariah Dan Pt Bank Syariah Indonesia Periode 2019-2021 )","type":"article-journal","volume":"1"},"uris":["http://www.mendeley.com/documents/?uuid=714b9677-2319-4819-8202-047a60cf79f2"]}],"mendeley":{"formattedCitation":"[12]","plainTextFormattedCitation":"[12]","previouslyFormattedCitation":"[12]"},"properties":{"noteIndex":0},"schema":"https://github.com/citation-style-language/schema/raw/master/csl-citation.json"}</w:instrText>
      </w:r>
      <w:r w:rsidRPr="008A359D">
        <w:rPr>
          <w:sz w:val="20"/>
          <w:szCs w:val="20"/>
        </w:rPr>
        <w:fldChar w:fldCharType="separate"/>
      </w:r>
      <w:r w:rsidRPr="008A359D">
        <w:rPr>
          <w:noProof/>
          <w:sz w:val="20"/>
          <w:szCs w:val="20"/>
        </w:rPr>
        <w:t>[12]</w:t>
      </w:r>
      <w:r w:rsidRPr="008A359D">
        <w:rPr>
          <w:sz w:val="20"/>
          <w:szCs w:val="20"/>
        </w:rPr>
        <w:fldChar w:fldCharType="end"/>
      </w:r>
      <w:r w:rsidRPr="008A359D">
        <w:rPr>
          <w:sz w:val="20"/>
          <w:szCs w:val="20"/>
        </w:rPr>
        <w:t>. CAMEL ialah suatu akronim dari Capital (Modal), Assets (Aset), Management (Manajemen), Earning (Rentabilitas), dan Liquidity (Likuiditas). Komponen CAMEL ini dapat ditemukan di laporan keuangan yang diterbitkan oleh bank yang bersangkutan.</w:t>
      </w:r>
    </w:p>
    <w:p w:rsidR="00816C00" w:rsidRPr="008A359D" w:rsidRDefault="00816C00" w:rsidP="00816C00">
      <w:pPr>
        <w:pBdr>
          <w:top w:val="nil"/>
          <w:left w:val="nil"/>
          <w:bottom w:val="nil"/>
          <w:right w:val="nil"/>
          <w:between w:val="nil"/>
        </w:pBdr>
        <w:ind w:firstLine="288"/>
        <w:jc w:val="both"/>
        <w:rPr>
          <w:sz w:val="20"/>
          <w:szCs w:val="20"/>
        </w:rPr>
      </w:pPr>
      <w:r w:rsidRPr="008A359D">
        <w:rPr>
          <w:sz w:val="20"/>
          <w:szCs w:val="20"/>
        </w:rPr>
        <w:t xml:space="preserve">Modal (capital) merupakan suatu unsur yang sangat diperlukan bahkan wajib dalam menjalankan operasional perbankan. Penilaian terhadap modal bank dapat diukur menggunakan rasio CAR </w:t>
      </w:r>
      <w:r w:rsidRPr="008A359D">
        <w:rPr>
          <w:sz w:val="20"/>
          <w:szCs w:val="20"/>
        </w:rPr>
        <w:fldChar w:fldCharType="begin" w:fldLock="1"/>
      </w:r>
      <w:r w:rsidRPr="008A359D">
        <w:rPr>
          <w:sz w:val="20"/>
          <w:szCs w:val="20"/>
        </w:rPr>
        <w:instrText>ADDIN CSL_CITATION {"citationItems":[{"id":"ITEM-1","itemData":{"abstract":"The Sharia Banking Industry is an important part of Indonesian Financial Institutions that supports economic growth and takes a very important role in the management of public funds, where with good financial performance it can increase the trust level as a safe and healthy forum for investing and managing public funds. The research was carried out by applying the CAMEL and RGEC methods in order to measure the soundness level of Islamic banking, by measuring the ratio of CAR, KAP, NPM, ROA, BOPO, LDR, NIM, NPL and GCG on the performance of Islamic Banking listed on the Indonesia’s Stock Exchange during analyze period of 2015-2019 based on \"Bank Indonesia Circular Letter Number 6/23 / DPNP / 2004\". The sample for this measurement is limited to the application of the purposive sampling method of 3 (three) Islamic Banks using secondary data downloaded from www.idx.co.id, www.bi.go.id, completed by the websites of each sample company. The analysis results shows that generally based on the ratios and profiles, the Islamic Banking industry in the 2015- 2019 period can be ranked as : HEALTHY","author":[{"dropping-particle":"","family":"Rismala","given":"Lina Indra","non-dropping-particle":"","parse-names":false,"suffix":""},{"dropping-particle":"","family":"Triposa","given":"Tasya","non-dropping-particle":"","parse-names":false,"suffix":""},{"dropping-particle":"","family":"Aprilianty","given":"Devi","non-dropping-particle":"","parse-names":false,"suffix":""},{"dropping-particle":"","family":"Elvina","given":"Dessy","non-dropping-particle":"","parse-names":false,"suffix":""},{"dropping-particle":"","family":"Sunardi","given":"Nardi","non-dropping-particle":"","parse-names":false,"suffix":""}],"container-title":"Jurnal Sekuritas: Saham, Ekonomi, Keuangan dan Investasi","id":"ITEM-1","issue":"1","issued":{"date-parts":[["2021"]]},"page":"25-42","title":"Analisa Camel dan RGEC untuk mengukur tingkat Kesehatan Bank","type":"article-journal","volume":"5"},"uris":["http://www.mendeley.com/documents/?uuid=489dd763-721e-4f79-b970-f63d75ed0f2a"]}],"mendeley":{"formattedCitation":"[13]","plainTextFormattedCitation":"[13]","previouslyFormattedCitation":"[13]"},"properties":{"noteIndex":0},"schema":"https://github.com/citation-style-language/schema/raw/master/csl-citation.json"}</w:instrText>
      </w:r>
      <w:r w:rsidRPr="008A359D">
        <w:rPr>
          <w:sz w:val="20"/>
          <w:szCs w:val="20"/>
        </w:rPr>
        <w:fldChar w:fldCharType="separate"/>
      </w:r>
      <w:r w:rsidRPr="008A359D">
        <w:rPr>
          <w:noProof/>
          <w:sz w:val="20"/>
          <w:szCs w:val="20"/>
        </w:rPr>
        <w:t>[13]</w:t>
      </w:r>
      <w:r w:rsidRPr="008A359D">
        <w:rPr>
          <w:sz w:val="20"/>
          <w:szCs w:val="20"/>
        </w:rPr>
        <w:fldChar w:fldCharType="end"/>
      </w:r>
      <w:r w:rsidRPr="008A359D">
        <w:rPr>
          <w:sz w:val="20"/>
          <w:szCs w:val="20"/>
        </w:rPr>
        <w:t xml:space="preserve">. Rasio CAR (Capital Adequacy Rasio) ialah rasio yang menunjukkan kemampuan dari bank untuk menyediakan dana dengan tujuan kepentingan pengembangan usaha dan mengatasi potensi terjadinya kerugian </w:t>
      </w:r>
      <w:r w:rsidRPr="008A359D">
        <w:rPr>
          <w:sz w:val="20"/>
          <w:szCs w:val="20"/>
        </w:rPr>
        <w:fldChar w:fldCharType="begin" w:fldLock="1"/>
      </w:r>
      <w:r w:rsidRPr="008A359D">
        <w:rPr>
          <w:sz w:val="20"/>
          <w:szCs w:val="20"/>
        </w:rPr>
        <w:instrText>ADDIN CSL_CITATION {"citationItems":[{"id":"ITEM-1","itemData":{"DOI":"10.35134/ekobistek.v11i3.331","ISSN":"2527-9483","abstract":"Penelitian ini dilakukan dengan tujuan untuk megetahui tingkat kesehatan bank BSI tahun 2020-2021 dengan menggunakan metode CAMEL dengan berdasarkan Laporan keuangan publiasi tahunan tahun 2021. Analisis dengan metode CAMEL ini terdiri dari analisis terhadap Capital, asset,management, earning, Liquidity dengan menggunakan analisis rasio CAR,NPM,NPL,ROA,BOPO dan LDR. Beradasarkan analisis hasil penelitian yang telah dilakukan pada bank BSI didapatkan analisis rasio CAR tahun 2020 sebesar 17,63%  dan 2021 sebesar 21,99%, melalui analisis ini perbankan dinyatakan sehat, kesehatannya mengalami peningkatan sebesar 4,36%. Analisis menggunakan rasio NPL didapatkan hasil pada tahun 2020 sebesar 1,06%  Sedangkan tahun 2021 sebesar 0,84% hasil ini menunjukkan bank BSI dikategorikan sehat tingkat kesehatannya naik sebesar 0,22% sejalan dengan turunnya nilai rasio NPL. Analisis rasio menggunakan NPM didapatkan hasil pada tahun 2020 sebesar 70,81% sedangkan tahun 2021 sebesar 73,99% hasil ini menunjukkan kinerja bank dikategorikan sehat. Analisis rasio menggunakan ROA pada tahun 2020 didapatkan nilai sebesar 1,25% sedangkan pada tahun 2021 sebesar 1,49%, nilai ini menunjukkan kinerja bank dinyatakan sehat. Analisis menggunakan rasio BOPO mendapatkan hasil pada tahun 2020 sebesar 84,61% sedangkan pada tahun 2021 sebesar 80,46% nilai ini menunjukkan kinerja bank dikategorikan sehat. Dan yang terakhir penilaian menggunakan rasio LDR didapatkan hasil pada tahun 2020 sebesar 74,52% sedangkan pada tahun 2021 sebesar 73,39% nilai ini menunjukkan kinerja bank dinyatakan sehat. Dari kelima rasio yang digunakan empat diantaranya mengalami peningkatan dari 2020 ke tahun 2021, sementara 2 lainnya mengalami penurunan tingkat kesehatan meskipun masih dalam kategori sehat.","author":[{"dropping-particle":"","family":"Umri Hayati","given":"Siti","non-dropping-particle":"","parse-names":false,"suffix":""},{"dropping-particle":"","family":"Tika","given":"Yuliana Ulan","non-dropping-particle":"","parse-names":false,"suffix":""},{"dropping-particle":"","family":"Harahap","given":"Akbar Husein","non-dropping-particle":"","parse-names":false,"suffix":""},{"dropping-particle":"","family":"Hasibuan","given":"Ahmad Fauzul Hakim","non-dropping-particle":"","parse-names":false,"suffix":""}],"container-title":"Jurnal Ekobistek","id":"ITEM-1","issue":"3","issued":{"date-parts":[["2022"]]},"page":"137-142","title":"Analisis Tingkat Kesehatan Bank Syariah Indonesia Menggunakan Metode CAMEL (Tahun 2020-2021)","type":"article-journal","volume":"11"},"uris":["http://www.mendeley.com/documents/?uuid=e5fb2d97-8555-4857-ba7b-47811b198a29"]}],"mendeley":{"formattedCitation":"[8]","plainTextFormattedCitation":"[8]","previouslyFormattedCitation":"[8]"},"properties":{"noteIndex":0},"schema":"https://github.com/citation-style-language/schema/raw/master/csl-citation.json"}</w:instrText>
      </w:r>
      <w:r w:rsidRPr="008A359D">
        <w:rPr>
          <w:sz w:val="20"/>
          <w:szCs w:val="20"/>
        </w:rPr>
        <w:fldChar w:fldCharType="separate"/>
      </w:r>
      <w:r w:rsidRPr="008A359D">
        <w:rPr>
          <w:noProof/>
          <w:sz w:val="20"/>
          <w:szCs w:val="20"/>
        </w:rPr>
        <w:t>[8]</w:t>
      </w:r>
      <w:r w:rsidRPr="008A359D">
        <w:rPr>
          <w:sz w:val="20"/>
          <w:szCs w:val="20"/>
        </w:rPr>
        <w:fldChar w:fldCharType="end"/>
      </w:r>
      <w:r w:rsidRPr="008A359D">
        <w:rPr>
          <w:sz w:val="20"/>
          <w:szCs w:val="20"/>
        </w:rPr>
        <w:t xml:space="preserve">. Ketika nilai CAR ini semakin tinggi, maka potensi bank untuk menanggulangi potensi kerugian ini juga semakin tinggi </w:t>
      </w:r>
      <w:r w:rsidRPr="008A359D">
        <w:rPr>
          <w:sz w:val="20"/>
          <w:szCs w:val="20"/>
        </w:rPr>
        <w:fldChar w:fldCharType="begin" w:fldLock="1"/>
      </w:r>
      <w:r w:rsidRPr="008A359D">
        <w:rPr>
          <w:sz w:val="20"/>
          <w:szCs w:val="20"/>
        </w:rPr>
        <w:instrText>ADDIN CSL_CITATION {"citationItems":[{"id":"ITEM-1","itemData":{"abstract":"… oleh Bank Indonesia untuk menghitung kesehatan bank di … karena Bank wajib melakukan penilaian kesehatan sesuai … Bank Indonesia tentang Sistem Penilaian Tingkat Kesehatan …","author":[{"dropping-particle":"","family":"Jati","given":"I R K","non-dropping-particle":"","parse-names":false,"suffix":""}],"container-title":"UMMagelang Conference Series","id":"ITEM-1","issue":"1","issued":{"date-parts":[["2020"]]},"page":"432-447","title":"Analisis Kinerja Keuangan Mengenai Tingkat Kesehatan Bank Dengan Menggunakan Metode CAMEL","type":"article-journal","volume":"2"},"uris":["http://www.mendeley.com/documents/?uuid=5d499eed-d67c-4230-b91d-9bce7b48a980"]}],"mendeley":{"formattedCitation":"[14]","plainTextFormattedCitation":"[14]","previouslyFormattedCitation":"[14]"},"properties":{"noteIndex":0},"schema":"https://github.com/citation-style-language/schema/raw/master/csl-citation.json"}</w:instrText>
      </w:r>
      <w:r w:rsidRPr="008A359D">
        <w:rPr>
          <w:sz w:val="20"/>
          <w:szCs w:val="20"/>
        </w:rPr>
        <w:fldChar w:fldCharType="separate"/>
      </w:r>
      <w:r w:rsidRPr="008A359D">
        <w:rPr>
          <w:noProof/>
          <w:sz w:val="20"/>
          <w:szCs w:val="20"/>
        </w:rPr>
        <w:t>[14]</w:t>
      </w:r>
      <w:r w:rsidRPr="008A359D">
        <w:rPr>
          <w:sz w:val="20"/>
          <w:szCs w:val="20"/>
        </w:rPr>
        <w:fldChar w:fldCharType="end"/>
      </w:r>
      <w:r w:rsidRPr="008A359D">
        <w:rPr>
          <w:sz w:val="20"/>
          <w:szCs w:val="20"/>
        </w:rPr>
        <w:t>.</w:t>
      </w:r>
    </w:p>
    <w:p w:rsidR="00816C00" w:rsidRPr="008A359D" w:rsidRDefault="00816C00" w:rsidP="00816C00">
      <w:pPr>
        <w:pBdr>
          <w:top w:val="nil"/>
          <w:left w:val="nil"/>
          <w:bottom w:val="nil"/>
          <w:right w:val="nil"/>
          <w:between w:val="nil"/>
        </w:pBdr>
        <w:ind w:firstLine="288"/>
        <w:jc w:val="both"/>
        <w:rPr>
          <w:sz w:val="20"/>
          <w:szCs w:val="20"/>
        </w:rPr>
      </w:pPr>
      <w:r w:rsidRPr="008A359D">
        <w:rPr>
          <w:sz w:val="20"/>
          <w:szCs w:val="20"/>
        </w:rPr>
        <w:t xml:space="preserve">Aset adalah segala hal yang berharga secara finansial yang dapat dimiliki oleh individu, perusahaan, atau pemerintah. Rasio aset merupakan suatu indikator untuk membantu menilai tingkat efisiensi penggunaan sumber daya yang tersedia. Penilaian asset dapat diukur menggunakan rasio ROA . Rasio ROA (Return On Asset) ialah rasio yang menunjukkan kemampuan dari suatu bank untuk menghasilkan  keuntungan secara menyeluruh dari jumlah aset yang ada </w:t>
      </w:r>
      <w:r w:rsidRPr="008A359D">
        <w:rPr>
          <w:sz w:val="20"/>
          <w:szCs w:val="20"/>
        </w:rPr>
        <w:fldChar w:fldCharType="begin" w:fldLock="1"/>
      </w:r>
      <w:r w:rsidRPr="008A359D">
        <w:rPr>
          <w:sz w:val="20"/>
          <w:szCs w:val="20"/>
        </w:rPr>
        <w:instrText>ADDIN CSL_CITATION {"citationItems":[{"id":"ITEM-1","itemData":{"DOI":"10.35134/ekobistek.v11i3.331","ISSN":"2527-9483","abstract":"Penelitian ini dilakukan dengan tujuan untuk megetahui tingkat kesehatan bank BSI tahun 2020-2021 dengan menggunakan metode CAMEL dengan berdasarkan Laporan keuangan publiasi tahunan tahun 2021. Analisis dengan metode CAMEL ini terdiri dari analisis terhadap Capital, asset,management, earning, Liquidity dengan menggunakan analisis rasio CAR,NPM,NPL,ROA,BOPO dan LDR. Beradasarkan analisis hasil penelitian yang telah dilakukan pada bank BSI didapatkan analisis rasio CAR tahun 2020 sebesar 17,63%  dan 2021 sebesar 21,99%, melalui analisis ini perbankan dinyatakan sehat, kesehatannya mengalami peningkatan sebesar 4,36%. Analisis menggunakan rasio NPL didapatkan hasil pada tahun 2020 sebesar 1,06%  Sedangkan tahun 2021 sebesar 0,84% hasil ini menunjukkan bank BSI dikategorikan sehat tingkat kesehatannya naik sebesar 0,22% sejalan dengan turunnya nilai rasio NPL. Analisis rasio menggunakan NPM didapatkan hasil pada tahun 2020 sebesar 70,81% sedangkan tahun 2021 sebesar 73,99% hasil ini menunjukkan kinerja bank dikategorikan sehat. Analisis rasio menggunakan ROA pada tahun 2020 didapatkan nilai sebesar 1,25% sedangkan pada tahun 2021 sebesar 1,49%, nilai ini menunjukkan kinerja bank dinyatakan sehat. Analisis menggunakan rasio BOPO mendapatkan hasil pada tahun 2020 sebesar 84,61% sedangkan pada tahun 2021 sebesar 80,46% nilai ini menunjukkan kinerja bank dikategorikan sehat. Dan yang terakhir penilaian menggunakan rasio LDR didapatkan hasil pada tahun 2020 sebesar 74,52% sedangkan pada tahun 2021 sebesar 73,39% nilai ini menunjukkan kinerja bank dinyatakan sehat. Dari kelima rasio yang digunakan empat diantaranya mengalami peningkatan dari 2020 ke tahun 2021, sementara 2 lainnya mengalami penurunan tingkat kesehatan meskipun masih dalam kategori sehat.","author":[{"dropping-particle":"","family":"Umri Hayati","given":"Siti","non-dropping-particle":"","parse-names":false,"suffix":""},{"dropping-particle":"","family":"Tika","given":"Yuliana Ulan","non-dropping-particle":"","parse-names":false,"suffix":""},{"dropping-particle":"","family":"Harahap","given":"Akbar Husein","non-dropping-particle":"","parse-names":false,"suffix":""},{"dropping-particle":"","family":"Hasibuan","given":"Ahmad Fauzul Hakim","non-dropping-particle":"","parse-names":false,"suffix":""}],"container-title":"Jurnal Ekobistek","id":"ITEM-1","issue":"3","issued":{"date-parts":[["2022"]]},"page":"137-142","title":"Analisis Tingkat Kesehatan Bank Syariah Indonesia Menggunakan Metode CAMEL (Tahun 2020-2021)","type":"article-journal","volume":"11"},"uris":["http://www.mendeley.com/documents/?uuid=76286fad-6cac-4829-819e-9d926e7c39bb"]}],"mendeley":{"formattedCitation":"[8]","plainTextFormattedCitation":"[8]","previouslyFormattedCitation":"[8]"},"properties":{"noteIndex":0},"schema":"https://github.com/citation-style-language/schema/raw/master/csl-citation.json"}</w:instrText>
      </w:r>
      <w:r w:rsidRPr="008A359D">
        <w:rPr>
          <w:sz w:val="20"/>
          <w:szCs w:val="20"/>
        </w:rPr>
        <w:fldChar w:fldCharType="separate"/>
      </w:r>
      <w:r w:rsidRPr="008A359D">
        <w:rPr>
          <w:noProof/>
          <w:sz w:val="20"/>
          <w:szCs w:val="20"/>
        </w:rPr>
        <w:t>[8]</w:t>
      </w:r>
      <w:r w:rsidRPr="008A359D">
        <w:rPr>
          <w:sz w:val="20"/>
          <w:szCs w:val="20"/>
        </w:rPr>
        <w:fldChar w:fldCharType="end"/>
      </w:r>
      <w:r w:rsidRPr="008A359D">
        <w:rPr>
          <w:sz w:val="20"/>
          <w:szCs w:val="20"/>
        </w:rPr>
        <w:t xml:space="preserve">. Apabila ROA yang dimiliki semakin tinggi, maka keuntungan yang dihasilkan bank semakin tinggi dan juga semakin baik dalam pemanfaatan aset yang dimiliki </w:t>
      </w:r>
      <w:r w:rsidRPr="008A359D">
        <w:rPr>
          <w:sz w:val="20"/>
          <w:szCs w:val="20"/>
        </w:rPr>
        <w:fldChar w:fldCharType="begin" w:fldLock="1"/>
      </w:r>
      <w:r w:rsidRPr="008A359D">
        <w:rPr>
          <w:sz w:val="20"/>
          <w:szCs w:val="20"/>
        </w:rPr>
        <w:instrText>ADDIN CSL_CITATION {"citationItems":[{"id":"ITEM-1","itemData":{"DOI":"10.36778/jesya.v4i2.391","ISSN":"2614-3259","abstract":"Penelitian ini bertujuan untuk mengetahui apakah terdapat perbedaan antara tingkat kesehatan bank konvensional dan bank syariah pada periode 2015-2019. Penelitian ini menggunakan metode CAMELS yang terdiri dari Capital, Asset, Management, Earnings, Liquidity dan Sensitivity to Market Risk agar mengetahui bagaimana kondisi kesehatan suatu bank tersebut. Pada aspek permodalan menggunakan rasio Capital Adequacy Ratio, Non Performing Loan mewakili aspek aset, Net Profit Margin mewakili aspek manajemen, Return On Assets, Return On Equity, Biaya Operasional dan Pendapatan Operasional mewakili aspek rentabilitas, Loan To Deposit Ratio mewakili aspek likuiditas dan Interest Expense Ratio mewakili aspek sensitivitas terhadap risiko pasar. Jenis penelitian yang digunakan adalah penelitian deskriptif kuantitatif dengan menggunakan perangkat lunak SPSS 16. Sumber data pada penelitian ini adalah data sekunder. Teknik pengambilan sampelnya menggunakan purposive sampling. Metode pengumpulan datanya adalah data sekunder. Data yang digunakan dalam penelitian ini merupakan data – data sekunder yang diperoleh melalui situs Bursa Efek Indonesia dan situs resmi setiap sampel bank yaitu berupa laporan keuangan perusahaan selama 5 tahun. Penelitian ini menggunakan uji normalitas dan uji beda atau analisis perbandingan Independent Sample T-test untuk analisis statistik dan uji hipotesis. Hasil analisis ini menemukan tidak terdapat perbedaan antara tingkat kesehatan bank konvensional dan syariah pada rasio Capital Adequacy Ratio, Loan To Deposit Ratio dan Interest Expense Ratio, namun terdapat perbedaan pada rasio Non Performing Loan, Net Profit Margin, Return On Assets, Return On Equity, dan Biaya Operasional dan Pendapatan Operasional. Maka dapat disimpulkan bahwa bank konvensional memiliki kondisi kesehatan yang lebih baik dibandingkan bank syariah selama periode 2015-2019.","author":[{"dropping-particle":"","family":"Pujaraniam","given":"Santy","non-dropping-particle":"","parse-names":false,"suffix":""},{"dropping-particle":"","family":"Hermuningsih","given":"Sri","non-dropping-particle":"","parse-names":false,"suffix":""},{"dropping-particle":"","family":"Cahya","given":"Agus Dwi","non-dropping-particle":"","parse-names":false,"suffix":""}],"container-title":"Jesya (Jurnal Ekonomi &amp; Ekonomi Syariah)","id":"ITEM-1","issue":"2","issued":{"date-parts":[["2021"]]},"page":"764-774","title":"Analisa Perbandingan Kesehatan Bank Menggunakan Metode Camels","type":"article-journal","volume":"4"},"uris":["http://www.mendeley.com/documents/?uuid=95695486-7924-4d02-90ef-d58b712a2fee"]}],"mendeley":{"formattedCitation":"[15]","plainTextFormattedCitation":"[15]","previouslyFormattedCitation":"[15]"},"properties":{"noteIndex":0},"schema":"https://github.com/citation-style-language/schema/raw/master/csl-citation.json"}</w:instrText>
      </w:r>
      <w:r w:rsidRPr="008A359D">
        <w:rPr>
          <w:sz w:val="20"/>
          <w:szCs w:val="20"/>
        </w:rPr>
        <w:fldChar w:fldCharType="separate"/>
      </w:r>
      <w:r w:rsidRPr="008A359D">
        <w:rPr>
          <w:noProof/>
          <w:sz w:val="20"/>
          <w:szCs w:val="20"/>
        </w:rPr>
        <w:t>[15]</w:t>
      </w:r>
      <w:r w:rsidRPr="008A359D">
        <w:rPr>
          <w:sz w:val="20"/>
          <w:szCs w:val="20"/>
        </w:rPr>
        <w:fldChar w:fldCharType="end"/>
      </w:r>
      <w:r w:rsidRPr="008A359D">
        <w:rPr>
          <w:sz w:val="20"/>
          <w:szCs w:val="20"/>
        </w:rPr>
        <w:t>.</w:t>
      </w:r>
    </w:p>
    <w:p w:rsidR="00816C00" w:rsidRPr="008A359D" w:rsidRDefault="00816C00" w:rsidP="00816C00">
      <w:pPr>
        <w:pBdr>
          <w:top w:val="nil"/>
          <w:left w:val="nil"/>
          <w:bottom w:val="nil"/>
          <w:right w:val="nil"/>
          <w:between w:val="nil"/>
        </w:pBdr>
        <w:ind w:firstLine="288"/>
        <w:jc w:val="both"/>
        <w:rPr>
          <w:sz w:val="20"/>
          <w:szCs w:val="20"/>
        </w:rPr>
      </w:pPr>
      <w:r w:rsidRPr="008A359D">
        <w:rPr>
          <w:sz w:val="20"/>
          <w:szCs w:val="20"/>
        </w:rPr>
        <w:t xml:space="preserve">Manajemen merupakan sebuah tolak ukur masyarakat terhadap perbankan dengan melihat dari sisi pengelolaan bank tersebut </w:t>
      </w:r>
      <w:r w:rsidRPr="008A359D">
        <w:rPr>
          <w:sz w:val="20"/>
          <w:szCs w:val="20"/>
        </w:rPr>
        <w:fldChar w:fldCharType="begin" w:fldLock="1"/>
      </w:r>
      <w:r w:rsidRPr="008A359D">
        <w:rPr>
          <w:sz w:val="20"/>
          <w:szCs w:val="20"/>
        </w:rPr>
        <w:instrText>ADDIN CSL_CITATION {"citationItems":[{"id":"ITEM-1","itemData":{"ISSN":"5748-5767","author":[{"dropping-particle":"","family":"Ardiyanti","given":"Wilma Dian","non-dropping-particle":"","parse-names":false,"suffix":""},{"dropping-particle":"","family":"Ta'nak","given":"Jois","non-dropping-particle":"","parse-names":false,"suffix":""},{"dropping-particle":"","family":"Matasik","given":"Ade Lisa","non-dropping-particle":"","parse-names":false,"suffix":""},{"dropping-particle":"","family":"Tangdialla","given":"Randy","non-dropping-particle":"","parse-names":false,"suffix":""}],"container-title":"Jurnal Pendidikan Tambusai","id":"ITEM-1","issue":"2","issued":{"date-parts":[["2023"]]},"page":"5748-5767","title":"Analisis Penilaian Tingkat Kesehatan Bank dengan Menggunakan Metode CAMEL (Studi Kasus pada PT Bank Raya Indonesia Tbk)","type":"article-journal","volume":"7"},"uris":["http://www.mendeley.com/documents/?uuid=cac5554d-80bf-47c1-840c-6ae4fb5b84f4"]}],"mendeley":{"formattedCitation":"[16]","plainTextFormattedCitation":"[16]","previouslyFormattedCitation":"[16]"},"properties":{"noteIndex":0},"schema":"https://github.com/citation-style-language/schema/raw/master/csl-citation.json"}</w:instrText>
      </w:r>
      <w:r w:rsidRPr="008A359D">
        <w:rPr>
          <w:sz w:val="20"/>
          <w:szCs w:val="20"/>
        </w:rPr>
        <w:fldChar w:fldCharType="separate"/>
      </w:r>
      <w:r w:rsidRPr="008A359D">
        <w:rPr>
          <w:noProof/>
          <w:sz w:val="20"/>
          <w:szCs w:val="20"/>
        </w:rPr>
        <w:t>[16]</w:t>
      </w:r>
      <w:r w:rsidRPr="008A359D">
        <w:rPr>
          <w:sz w:val="20"/>
          <w:szCs w:val="20"/>
        </w:rPr>
        <w:fldChar w:fldCharType="end"/>
      </w:r>
      <w:r w:rsidRPr="008A359D">
        <w:rPr>
          <w:sz w:val="20"/>
          <w:szCs w:val="20"/>
        </w:rPr>
        <w:t xml:space="preserve">. Penilaian terhadap manajemen dapat diukur menggunakan rasio NPM </w:t>
      </w:r>
      <w:r w:rsidRPr="008A359D">
        <w:rPr>
          <w:sz w:val="20"/>
          <w:szCs w:val="20"/>
        </w:rPr>
        <w:fldChar w:fldCharType="begin" w:fldLock="1"/>
      </w:r>
      <w:r w:rsidRPr="008A359D">
        <w:rPr>
          <w:sz w:val="20"/>
          <w:szCs w:val="20"/>
        </w:rPr>
        <w:instrText>ADDIN CSL_CITATION {"citationItems":[{"id":"ITEM-1","itemData":{"author":[{"dropping-particle":"","family":"Budiastuti","given":"Susanti","non-dropping-particle":"","parse-names":false,"suffix":""},{"dropping-particle":"","family":"Hartati","given":"Sri","non-dropping-particle":"","parse-names":false,"suffix":""},{"dropping-particle":"","family":"Suseno","given":"","non-dropping-particle":"","parse-names":false,"suffix":""}],"container-title":"AmaNU : Jurnal Manajemen dan Ekonomi Suwono","id":"ITEM-1","issue":"1","issued":{"date-parts":[["2022"]]},"page":"56-70","title":"AmaNU : Jurnal Manajemen dan Ekonomi AmaNU : Jurnal Manajemen dan Ekonomi AmaNU : Jurnal Manajemen dan Ekonomi AmaNU : Jurnal Manajemen dan Ekonomi","type":"article-journal","volume":"5"},"uris":["http://www.mendeley.com/documents/?uuid=a52c1331-f14f-4b55-a165-dc3aa245818a"]}],"mendeley":{"formattedCitation":"[17]","plainTextFormattedCitation":"[17]","previouslyFormattedCitation":"[17]"},"properties":{"noteIndex":0},"schema":"https://github.com/citation-style-language/schema/raw/master/csl-citation.json"}</w:instrText>
      </w:r>
      <w:r w:rsidRPr="008A359D">
        <w:rPr>
          <w:sz w:val="20"/>
          <w:szCs w:val="20"/>
        </w:rPr>
        <w:fldChar w:fldCharType="separate"/>
      </w:r>
      <w:r w:rsidRPr="008A359D">
        <w:rPr>
          <w:noProof/>
          <w:sz w:val="20"/>
          <w:szCs w:val="20"/>
        </w:rPr>
        <w:t>[17]</w:t>
      </w:r>
      <w:r w:rsidRPr="008A359D">
        <w:rPr>
          <w:sz w:val="20"/>
          <w:szCs w:val="20"/>
        </w:rPr>
        <w:fldChar w:fldCharType="end"/>
      </w:r>
      <w:r w:rsidRPr="008A359D">
        <w:rPr>
          <w:sz w:val="20"/>
          <w:szCs w:val="20"/>
        </w:rPr>
        <w:t xml:space="preserve">. Rasio NPM (Net Profit Margin) ialah rasio yang menunjukkan tingkat keuntungan dari bank dengan melihat perolehan pendapatan dari kegiatan operasional bank </w:t>
      </w:r>
      <w:r w:rsidRPr="008A359D">
        <w:rPr>
          <w:sz w:val="20"/>
          <w:szCs w:val="20"/>
        </w:rPr>
        <w:fldChar w:fldCharType="begin" w:fldLock="1"/>
      </w:r>
      <w:r w:rsidRPr="008A359D">
        <w:rPr>
          <w:sz w:val="20"/>
          <w:szCs w:val="20"/>
        </w:rPr>
        <w:instrText>ADDIN CSL_CITATION {"citationItems":[{"id":"ITEM-1","itemData":{"DOI":"10.21043/bisnis.v8i2.8795","ISSN":"2442-3718","abstract":"&lt;p&gt;This study aims to determine the results of the CAMEL ratio analysis (Capital, Asset Quality, Management, Earnings and Liquidity) at the soundness level of a Sharia BRI Bank for the period 2018-2019. The soundness level of a bank is an assessment conducted by the OJK for each bank to determine whether the bank is in good health or not. Regulations regarding the assessment of the level of health at commercial banks are contained in Bank Indonesia Regulation Number 13/1/PBI/2011 and Financial Services Authority Regulation Number 8/POJK.03/2014 and Financial Services Authority Regulation Number 4/POJK.03/2016. This type of research is a descriptive study with a quantitative approach. Descriptive research method is the method used to describe the research results by analyzing data from financial statement sources. While the quantitative research method is a study that uses data in the form of numbers as a means of analyzing and calculating. For this reason, the source of data needed in this study is secondary data which is the financial statements of a Sharia BRI Bank for the period 2018-2019. Through the data source in the form of financial reports can find out the soundness level of BRI Syariah Bank in 2018-2019 by calculating and analyzing the CAMEL ratio.&lt;/p&gt;","author":[{"dropping-particle":"","family":"Andriasari","given":"Widi Savitri","non-dropping-particle":"","parse-names":false,"suffix":""},{"dropping-particle":"","family":"Munawaroh","given":"Siti Ummi","non-dropping-particle":"","parse-names":false,"suffix":""}],"container-title":"BISNIS : Jurnal Bisnis dan Manajemen Islam","id":"ITEM-1","issue":"2","issued":{"date-parts":[["2020"]]},"page":"237","title":"Analisis Rasio CAMEL (Capital, Asset, Management, Earnings, Equity dan Liquidity) pada Tingkat Kesehatan Bank (Studi Kasus BRI Syariah Periode 2018-2019)","type":"article-journal","volume":"8"},"uris":["http://www.mendeley.com/documents/?uuid=4dc046ae-69fb-46ad-bd1c-db01b2e79753"]}],"mendeley":{"formattedCitation":"[18]","plainTextFormattedCitation":"[18]","previouslyFormattedCitation":"[18]"},"properties":{"noteIndex":0},"schema":"https://github.com/citation-style-language/schema/raw/master/csl-citation.json"}</w:instrText>
      </w:r>
      <w:r w:rsidRPr="008A359D">
        <w:rPr>
          <w:sz w:val="20"/>
          <w:szCs w:val="20"/>
        </w:rPr>
        <w:fldChar w:fldCharType="separate"/>
      </w:r>
      <w:r w:rsidRPr="008A359D">
        <w:rPr>
          <w:noProof/>
          <w:sz w:val="20"/>
          <w:szCs w:val="20"/>
        </w:rPr>
        <w:t>[18]</w:t>
      </w:r>
      <w:r w:rsidRPr="008A359D">
        <w:rPr>
          <w:sz w:val="20"/>
          <w:szCs w:val="20"/>
        </w:rPr>
        <w:fldChar w:fldCharType="end"/>
      </w:r>
      <w:r w:rsidRPr="008A359D">
        <w:rPr>
          <w:sz w:val="20"/>
          <w:szCs w:val="20"/>
        </w:rPr>
        <w:t xml:space="preserve">. Apabila NPM ini semakin besar, maka semakin efisien manajemen bank, karena semakin besar keuntungan memperlihatkan manajemen yang baik pula </w:t>
      </w:r>
      <w:r w:rsidRPr="008A359D">
        <w:rPr>
          <w:sz w:val="20"/>
          <w:szCs w:val="20"/>
        </w:rPr>
        <w:fldChar w:fldCharType="begin" w:fldLock="1"/>
      </w:r>
      <w:r w:rsidRPr="008A359D">
        <w:rPr>
          <w:sz w:val="20"/>
          <w:szCs w:val="20"/>
        </w:rPr>
        <w:instrText>ADDIN CSL_CITATION {"citationItems":[{"id":"ITEM-1","itemData":{"DOI":"10.32670/fairvalue.v5i3.2462","ISSN":"2622-2191","abstract":"This study aims to determine the soundness of banking companies listed on the Indonesia Stock Exchange in 2016–2020. Assessment of bank health is very important because it forms trust in the banking world. Measuring the soundness of a bank can be done using the CAMEL approach, namely the analysis of the factors of capital (capital), asset quality (asset quality), management (management), earnings (profitability), liquidity (liquidity). This is an official measuring instrument that has been set by Bank Indonesia to calculate the health of banks in Indonesia. This study uses descriptive quantitative research methods to describe and analyze the data or numbers contained in the financial statements of general banking companies listed on the IDX, consisting of financial statements for the 2016–2020 period. The sample for this research was taken using the purposive sampling technique. The data analysis technique in this study uses SPSS 25 application software. The results of this study prove that the net profit margin (NPM) has an effect on the bank's soundness level. Meanwhile, the capital adequacy ratio (CAR), non-performing loan (NPL), return of assets (ROA), operating expenses to operating income (BOPO), and loan to deposit ratio (LDR) have no effect on bank soundness level.","author":[{"dropping-particle":"","family":"Novitasari","given":"Ririn","non-dropping-particle":"","parse-names":false,"suffix":""},{"dropping-particle":"","family":"Yuliati","given":"Anik","non-dropping-particle":"","parse-names":false,"suffix":""}],"container-title":"Fair Value: Jurnal Ilmiah Akuntansi dan Keuangan","id":"ITEM-1","issue":"3","issued":{"date-parts":[["2022"]]},"page":"1656-1666","title":"Analisis CAMEL untuk menilai tingkat kesehatan perusahaan perbankan yang terdaftar di Bursa Efek Indonesia","type":"article-journal","volume":"5"},"uris":["http://www.mendeley.com/documents/?uuid=ff9f2e8f-94cb-494d-9435-135f22f5ffbd"]}],"mendeley":{"formattedCitation":"[19]","plainTextFormattedCitation":"[19]","previouslyFormattedCitation":"[19]"},"properties":{"noteIndex":0},"schema":"https://github.com/citation-style-language/schema/raw/master/csl-citation.json"}</w:instrText>
      </w:r>
      <w:r w:rsidRPr="008A359D">
        <w:rPr>
          <w:sz w:val="20"/>
          <w:szCs w:val="20"/>
        </w:rPr>
        <w:fldChar w:fldCharType="separate"/>
      </w:r>
      <w:r w:rsidRPr="008A359D">
        <w:rPr>
          <w:noProof/>
          <w:sz w:val="20"/>
          <w:szCs w:val="20"/>
        </w:rPr>
        <w:t>[19]</w:t>
      </w:r>
      <w:r w:rsidRPr="008A359D">
        <w:rPr>
          <w:sz w:val="20"/>
          <w:szCs w:val="20"/>
        </w:rPr>
        <w:fldChar w:fldCharType="end"/>
      </w:r>
      <w:r w:rsidRPr="008A359D">
        <w:rPr>
          <w:sz w:val="20"/>
          <w:szCs w:val="20"/>
        </w:rPr>
        <w:t>.</w:t>
      </w:r>
    </w:p>
    <w:p w:rsidR="00816C00" w:rsidRPr="008A359D" w:rsidRDefault="00816C00" w:rsidP="00816C00">
      <w:pPr>
        <w:pBdr>
          <w:top w:val="nil"/>
          <w:left w:val="nil"/>
          <w:bottom w:val="nil"/>
          <w:right w:val="nil"/>
          <w:between w:val="nil"/>
        </w:pBdr>
        <w:ind w:firstLine="288"/>
        <w:jc w:val="both"/>
        <w:rPr>
          <w:sz w:val="20"/>
          <w:szCs w:val="20"/>
        </w:rPr>
      </w:pPr>
      <w:r w:rsidRPr="008A359D">
        <w:rPr>
          <w:sz w:val="20"/>
          <w:szCs w:val="20"/>
        </w:rPr>
        <w:t xml:space="preserve">Rentabilitas (earning) merupakan kemampuan bank untuk menghasilkan laba. Bank akan kehilangan modal jika terus mengalami kerugian </w:t>
      </w:r>
      <w:r w:rsidRPr="008A359D">
        <w:rPr>
          <w:sz w:val="20"/>
          <w:szCs w:val="20"/>
        </w:rPr>
        <w:fldChar w:fldCharType="begin" w:fldLock="1"/>
      </w:r>
      <w:r w:rsidRPr="008A359D">
        <w:rPr>
          <w:sz w:val="20"/>
          <w:szCs w:val="20"/>
        </w:rPr>
        <w:instrText>ADDIN CSL_CITATION {"citationItems":[{"id":"ITEM-1","itemData":{"DOI":"10.15642/oje.2021.6.1.29-37","ISSN":"2548-6004","abstract":"The purpose of this research is to see and find out the level of the soundness of the financial statements at PT Bank Syariah Mandiri Tbk using the CAMEL method (Capital, Asset Quality, The method of data collection used in this research is the documentation of secondary data sources that have been collected and have been documented on the bank's official website in the form of existing financial reports. The results obtained in this study are CAR, ROA, and NI very healthy, NPF, ROE, FDR healthy, and PDN, BOPO quite healthy.","author":[{"dropping-particle":"","family":"Pratikto","given":"Muhammad Iqbal Surya","non-dropping-particle":"","parse-names":false,"suffix":""},{"dropping-particle":"","family":"Rahmawati","given":"Nisha Nor","non-dropping-particle":"","parse-names":false,"suffix":""}],"container-title":"OECONOMICUS Journal of Economics","id":"ITEM-1","issue":"1","issued":{"date-parts":[["2021"]]},"page":"29-37","title":"Analisis Tingkat Kesehatan Laporan Keuangan pada PT Bank Syariah Mandiri Tbk. dengan Metode CAMEL Periode 2016 – 2020","type":"article-journal","volume":"6"},"uris":["http://www.mendeley.com/documents/?uuid=a5a3bdec-1bf0-4cf4-b4bf-f4184978eef3"]}],"mendeley":{"formattedCitation":"[20]","plainTextFormattedCitation":"[20]","previouslyFormattedCitation":"[20]"},"properties":{"noteIndex":0},"schema":"https://github.com/citation-style-language/schema/raw/master/csl-citation.json"}</w:instrText>
      </w:r>
      <w:r w:rsidRPr="008A359D">
        <w:rPr>
          <w:sz w:val="20"/>
          <w:szCs w:val="20"/>
        </w:rPr>
        <w:fldChar w:fldCharType="separate"/>
      </w:r>
      <w:r w:rsidRPr="008A359D">
        <w:rPr>
          <w:noProof/>
          <w:sz w:val="20"/>
          <w:szCs w:val="20"/>
        </w:rPr>
        <w:t>[20]</w:t>
      </w:r>
      <w:r w:rsidRPr="008A359D">
        <w:rPr>
          <w:sz w:val="20"/>
          <w:szCs w:val="20"/>
        </w:rPr>
        <w:fldChar w:fldCharType="end"/>
      </w:r>
      <w:r w:rsidRPr="008A359D">
        <w:rPr>
          <w:sz w:val="20"/>
          <w:szCs w:val="20"/>
        </w:rPr>
        <w:t xml:space="preserve">. Penilaian terhadap earning dapat diukur menggunakan rasio BOPO </w:t>
      </w:r>
      <w:r w:rsidRPr="008A359D">
        <w:rPr>
          <w:sz w:val="20"/>
          <w:szCs w:val="20"/>
        </w:rPr>
        <w:fldChar w:fldCharType="begin" w:fldLock="1"/>
      </w:r>
      <w:r w:rsidRPr="008A359D">
        <w:rPr>
          <w:sz w:val="20"/>
          <w:szCs w:val="20"/>
        </w:rPr>
        <w:instrText>ADDIN CSL_CITATION {"citationItems":[{"id":"ITEM-1","itemData":{"author":[{"dropping-particle":"","family":"Pt","given":"D I","non-dropping-particle":"","parse-names":false,"suffix":""},{"dropping-particle":"","family":"Dubai","given":"Panin","non-dropping-particle":"","parse-names":false,"suffix":""},{"dropping-particle":"","family":"Bank","given":"Syariah","non-dropping-particle":"","parse-names":false,"suffix":""},{"dropping-particle":"","family":"Murtadho","given":"Taufiq Ridwan","non-dropping-particle":"","parse-names":false,"suffix":""}],"id":"ITEM-1","issued":{"date-parts":[["2020"]]},"title":"Rizky Ridwansyah Perbankan Syariah, Universitas Al Ma’ Soem","type":"article-journal"},"uris":["http://www.mendeley.com/documents/?uuid=21bd4b35-e825-4797-93fc-3f3eaad2e976"]}],"mendeley":{"formattedCitation":"[21]","plainTextFormattedCitation":"[21]","previouslyFormattedCitation":"[21]"},"properties":{"noteIndex":0},"schema":"https://github.com/citation-style-language/schema/raw/master/csl-citation.json"}</w:instrText>
      </w:r>
      <w:r w:rsidRPr="008A359D">
        <w:rPr>
          <w:sz w:val="20"/>
          <w:szCs w:val="20"/>
        </w:rPr>
        <w:fldChar w:fldCharType="separate"/>
      </w:r>
      <w:r w:rsidRPr="008A359D">
        <w:rPr>
          <w:noProof/>
          <w:sz w:val="20"/>
          <w:szCs w:val="20"/>
        </w:rPr>
        <w:t>[21]</w:t>
      </w:r>
      <w:r w:rsidRPr="008A359D">
        <w:rPr>
          <w:sz w:val="20"/>
          <w:szCs w:val="20"/>
        </w:rPr>
        <w:fldChar w:fldCharType="end"/>
      </w:r>
      <w:r w:rsidRPr="008A359D">
        <w:rPr>
          <w:sz w:val="20"/>
          <w:szCs w:val="20"/>
        </w:rPr>
        <w:t xml:space="preserve">. BOPO (Beban Operasional dan Pendapatan Operasional) adalah rasio yang menunjukkan kemampuan bank dalam menjalankan aktivitas operasionalnya. Ketika nilai BOPO semakin kecil, maka semakin efisien dan baik suatu bank menjalankan aktivitas operasionalnya sehingga bank menghasilkan laba yang maksimal </w:t>
      </w:r>
      <w:r w:rsidRPr="008A359D">
        <w:rPr>
          <w:sz w:val="20"/>
          <w:szCs w:val="20"/>
        </w:rPr>
        <w:fldChar w:fldCharType="begin" w:fldLock="1"/>
      </w:r>
      <w:r w:rsidRPr="008A359D">
        <w:rPr>
          <w:sz w:val="20"/>
          <w:szCs w:val="20"/>
        </w:rPr>
        <w:instrText>ADDIN CSL_CITATION {"citationItems":[{"id":"ITEM-1","itemData":{"DOI":"10.21043/bisnis.v8i2.8795","ISSN":"2442-3718","abstract":"&lt;p&gt;This study aims to determine the results of the CAMEL ratio analysis (Capital, Asset Quality, Management, Earnings and Liquidity) at the soundness level of a Sharia BRI Bank for the period 2018-2019. The soundness level of a bank is an assessment conducted by the OJK for each bank to determine whether the bank is in good health or not. Regulations regarding the assessment of the level of health at commercial banks are contained in Bank Indonesia Regulation Number 13/1/PBI/2011 and Financial Services Authority Regulation Number 8/POJK.03/2014 and Financial Services Authority Regulation Number 4/POJK.03/2016. This type of research is a descriptive study with a quantitative approach. Descriptive research method is the method used to describe the research results by analyzing data from financial statement sources. While the quantitative research method is a study that uses data in the form of numbers as a means of analyzing and calculating. For this reason, the source of data needed in this study is secondary data which is the financial statements of a Sharia BRI Bank for the period 2018-2019. Through the data source in the form of financial reports can find out the soundness level of BRI Syariah Bank in 2018-2019 by calculating and analyzing the CAMEL ratio.&lt;/p&gt;","author":[{"dropping-particle":"","family":"Andriasari","given":"Widi Savitri","non-dropping-particle":"","parse-names":false,"suffix":""},{"dropping-particle":"","family":"Munawaroh","given":"Siti Ummi","non-dropping-particle":"","parse-names":false,"suffix":""}],"container-title":"BISNIS : Jurnal Bisnis dan Manajemen Islam","id":"ITEM-1","issue":"2","issued":{"date-parts":[["2020"]]},"page":"237","title":"Analisis Rasio CAMEL (Capital, Asset, Management, Earnings, Equity dan Liquidity) pada Tingkat Kesehatan Bank (Studi Kasus BRI Syariah Periode 2018-2019)","type":"article-journal","volume":"8"},"uris":["http://www.mendeley.com/documents/?uuid=4cc49317-21bc-4c5d-9c97-28dbf1c29992"]}],"mendeley":{"formattedCitation":"[18]","plainTextFormattedCitation":"[18]","previouslyFormattedCitation":"[18]"},"properties":{"noteIndex":0},"schema":"https://github.com/citation-style-language/schema/raw/master/csl-citation.json"}</w:instrText>
      </w:r>
      <w:r w:rsidRPr="008A359D">
        <w:rPr>
          <w:sz w:val="20"/>
          <w:szCs w:val="20"/>
        </w:rPr>
        <w:fldChar w:fldCharType="separate"/>
      </w:r>
      <w:r w:rsidRPr="008A359D">
        <w:rPr>
          <w:noProof/>
          <w:sz w:val="20"/>
          <w:szCs w:val="20"/>
        </w:rPr>
        <w:t>[18]</w:t>
      </w:r>
      <w:r w:rsidRPr="008A359D">
        <w:rPr>
          <w:sz w:val="20"/>
          <w:szCs w:val="20"/>
        </w:rPr>
        <w:fldChar w:fldCharType="end"/>
      </w:r>
      <w:r w:rsidRPr="008A359D">
        <w:rPr>
          <w:sz w:val="20"/>
          <w:szCs w:val="20"/>
        </w:rPr>
        <w:t>.</w:t>
      </w:r>
    </w:p>
    <w:p w:rsidR="00816C00" w:rsidRPr="008A359D" w:rsidRDefault="00816C00" w:rsidP="00816C00">
      <w:pPr>
        <w:pBdr>
          <w:top w:val="nil"/>
          <w:left w:val="nil"/>
          <w:bottom w:val="nil"/>
          <w:right w:val="nil"/>
          <w:between w:val="nil"/>
        </w:pBdr>
        <w:ind w:firstLine="288"/>
        <w:jc w:val="both"/>
        <w:rPr>
          <w:sz w:val="20"/>
          <w:szCs w:val="20"/>
        </w:rPr>
      </w:pPr>
      <w:r w:rsidRPr="008A359D">
        <w:rPr>
          <w:sz w:val="20"/>
          <w:szCs w:val="20"/>
        </w:rPr>
        <w:t xml:space="preserve">Likuiditas (liquidity) ialah kemampuan bank untuk melunasi semua kewajiban jangka pendek yang dimiliki </w:t>
      </w:r>
      <w:r w:rsidRPr="008A359D">
        <w:rPr>
          <w:sz w:val="20"/>
          <w:szCs w:val="20"/>
        </w:rPr>
        <w:fldChar w:fldCharType="begin" w:fldLock="1"/>
      </w:r>
      <w:r w:rsidRPr="008A359D">
        <w:rPr>
          <w:sz w:val="20"/>
          <w:szCs w:val="20"/>
        </w:rPr>
        <w:instrText>ADDIN CSL_CITATION {"citationItems":[{"id":"ITEM-1","itemData":{"DOI":"10.35134/ekobistek.v11i3.331","ISSN":"2527-9483","abstract":"Penelitian ini dilakukan dengan tujuan untuk megetahui tingkat kesehatan bank BSI tahun 2020-2021 dengan menggunakan metode CAMEL dengan berdasarkan Laporan keuangan publiasi tahunan tahun 2021. Analisis dengan metode CAMEL ini terdiri dari analisis terhadap Capital, asset,management, earning, Liquidity dengan menggunakan analisis rasio CAR,NPM,NPL,ROA,BOPO dan LDR. Beradasarkan analisis hasil penelitian yang telah dilakukan pada bank BSI didapatkan analisis rasio CAR tahun 2020 sebesar 17,63%  dan 2021 sebesar 21,99%, melalui analisis ini perbankan dinyatakan sehat, kesehatannya mengalami peningkatan sebesar 4,36%. Analisis menggunakan rasio NPL didapatkan hasil pada tahun 2020 sebesar 1,06%  Sedangkan tahun 2021 sebesar 0,84% hasil ini menunjukkan bank BSI dikategorikan sehat tingkat kesehatannya naik sebesar 0,22% sejalan dengan turunnya nilai rasio NPL. Analisis rasio menggunakan NPM didapatkan hasil pada tahun 2020 sebesar 70,81% sedangkan tahun 2021 sebesar 73,99% hasil ini menunjukkan kinerja bank dikategorikan sehat. Analisis rasio menggunakan ROA pada tahun 2020 didapatkan nilai sebesar 1,25% sedangkan pada tahun 2021 sebesar 1,49%, nilai ini menunjukkan kinerja bank dinyatakan sehat. Analisis menggunakan rasio BOPO mendapatkan hasil pada tahun 2020 sebesar 84,61% sedangkan pada tahun 2021 sebesar 80,46% nilai ini menunjukkan kinerja bank dikategorikan sehat. Dan yang terakhir penilaian menggunakan rasio LDR didapatkan hasil pada tahun 2020 sebesar 74,52% sedangkan pada tahun 2021 sebesar 73,39% nilai ini menunjukkan kinerja bank dinyatakan sehat. Dari kelima rasio yang digunakan empat diantaranya mengalami peningkatan dari 2020 ke tahun 2021, sementara 2 lainnya mengalami penurunan tingkat kesehatan meskipun masih dalam kategori sehat.","author":[{"dropping-particle":"","family":"Umri Hayati","given":"Siti","non-dropping-particle":"","parse-names":false,"suffix":""},{"dropping-particle":"","family":"Tika","given":"Yuliana Ulan","non-dropping-particle":"","parse-names":false,"suffix":""},{"dropping-particle":"","family":"Harahap","given":"Akbar Husein","non-dropping-particle":"","parse-names":false,"suffix":""},{"dropping-particle":"","family":"Hasibuan","given":"Ahmad Fauzul Hakim","non-dropping-particle":"","parse-names":false,"suffix":""}],"container-title":"Jurnal Ekobistek","id":"ITEM-1","issue":"3","issued":{"date-parts":[["2022"]]},"page":"137-142","title":"Analisis Tingkat Kesehatan Bank Syariah Indonesia Menggunakan Metode CAMEL (Tahun 2020-2021)","type":"article-journal","volume":"11"},"uris":["http://www.mendeley.com/documents/?uuid=76286fad-6cac-4829-819e-9d926e7c39bb"]}],"mendeley":{"formattedCitation":"[8]","plainTextFormattedCitation":"[8]","previouslyFormattedCitation":"[8]"},"properties":{"noteIndex":0},"schema":"https://github.com/citation-style-language/schema/raw/master/csl-citation.json"}</w:instrText>
      </w:r>
      <w:r w:rsidRPr="008A359D">
        <w:rPr>
          <w:sz w:val="20"/>
          <w:szCs w:val="20"/>
        </w:rPr>
        <w:fldChar w:fldCharType="separate"/>
      </w:r>
      <w:r w:rsidRPr="008A359D">
        <w:rPr>
          <w:noProof/>
          <w:sz w:val="20"/>
          <w:szCs w:val="20"/>
        </w:rPr>
        <w:t>[8]</w:t>
      </w:r>
      <w:r w:rsidRPr="008A359D">
        <w:rPr>
          <w:sz w:val="20"/>
          <w:szCs w:val="20"/>
        </w:rPr>
        <w:fldChar w:fldCharType="end"/>
      </w:r>
      <w:r w:rsidRPr="008A359D">
        <w:rPr>
          <w:sz w:val="20"/>
          <w:szCs w:val="20"/>
        </w:rPr>
        <w:t xml:space="preserve">. Penilaian terhadap liquidity dapat diukur menggunakan rasio FDR </w:t>
      </w:r>
      <w:r w:rsidRPr="008A359D">
        <w:rPr>
          <w:sz w:val="20"/>
          <w:szCs w:val="20"/>
        </w:rPr>
        <w:fldChar w:fldCharType="begin" w:fldLock="1"/>
      </w:r>
      <w:r w:rsidRPr="008A359D">
        <w:rPr>
          <w:sz w:val="20"/>
          <w:szCs w:val="20"/>
        </w:rPr>
        <w:instrText>ADDIN CSL_CITATION {"citationItems":[{"id":"ITEM-1","itemData":{"author":[{"dropping-particle":"","family":"Anggraeni","given":"Andi Citra","non-dropping-particle":"","parse-names":false,"suffix":""},{"dropping-particle":"","family":"Alkaosar","given":"Bismal","non-dropping-particle":"","parse-names":false,"suffix":""},{"dropping-particle":"","family":"Resanda","given":"Ricky","non-dropping-particle":"","parse-names":false,"suffix":""}],"container-title":"Jurnal Riset Bisnis, Manajemen, dan Ilmu Ekonomi","id":"ITEM-1","issue":"1","issued":{"date-parts":[["2024"]]},"page":"8-18","title":"Implementasi Metode CAMEL : Analisis Perbandingan Kesehatan Bank Periode Tahun 2014-2016","type":"article-journal","volume":"1"},"uris":["http://www.mendeley.com/documents/?uuid=88f74c49-693d-4c85-9cd1-0b7d53f647a8"]}],"mendeley":{"formattedCitation":"[22]","plainTextFormattedCitation":"[22]","previouslyFormattedCitation":"[22]"},"properties":{"noteIndex":0},"schema":"https://github.com/citation-style-language/schema/raw/master/csl-citation.json"}</w:instrText>
      </w:r>
      <w:r w:rsidRPr="008A359D">
        <w:rPr>
          <w:sz w:val="20"/>
          <w:szCs w:val="20"/>
        </w:rPr>
        <w:fldChar w:fldCharType="separate"/>
      </w:r>
      <w:r w:rsidRPr="008A359D">
        <w:rPr>
          <w:noProof/>
          <w:sz w:val="20"/>
          <w:szCs w:val="20"/>
        </w:rPr>
        <w:t>[22]</w:t>
      </w:r>
      <w:r w:rsidRPr="008A359D">
        <w:rPr>
          <w:sz w:val="20"/>
          <w:szCs w:val="20"/>
        </w:rPr>
        <w:fldChar w:fldCharType="end"/>
      </w:r>
      <w:r w:rsidRPr="008A359D">
        <w:rPr>
          <w:sz w:val="20"/>
          <w:szCs w:val="20"/>
        </w:rPr>
        <w:t xml:space="preserve">, </w:t>
      </w:r>
      <w:r w:rsidRPr="008A359D">
        <w:rPr>
          <w:sz w:val="20"/>
          <w:szCs w:val="20"/>
        </w:rPr>
        <w:fldChar w:fldCharType="begin" w:fldLock="1"/>
      </w:r>
      <w:r w:rsidRPr="008A359D">
        <w:rPr>
          <w:sz w:val="20"/>
          <w:szCs w:val="20"/>
        </w:rPr>
        <w:instrText>ADDIN CSL_CITATION {"citationItems":[{"id":"ITEM-1","itemData":{"DOI":"10.37726/ee.v6i1.408","ISSN":"2599-2708","abstract":"Kondisi keuangan suatu lembaga keuangan sangat penting terjaga kesehatannya, sebagai salah satu cara untuk menjaga kepuasan nasabah dan menambah jumlah investor. Tujuan penelitian ini untuk mengetahui analisis penilaian tingkat kesehatan pada Bank Central Asia (BCA) Syariah berdasarkan metode CAMEL di PT. Bank BCA Syariah Periode 2015-2019. Penelitian ini menggunakan metode penelitian deskriptif kuantitatif. Sumber data yang diperlukan dalam penelitian ini yaitu dengan menggunakan data sekunder. Berdasarkan hasil pembahasan diatas dapat ditarik kesimpulan bahwa tingkat kesehatan BCA Syariah periode 2015-2019 berdasarkan Capital (permodalan) mendapatkan predikat “Sangat Sehat”. Karena nilai CAR yang didapatkan lebih besar dari 12% sesuai dengan ketentuan Bank Indonesia. Tingkat kesehatan BCA Syariah periode 2015-2019 berdasarkan Assets (Kualitas Aktiva Produktif) mendapatkan predikat “Sehat”, karena nilai KAP yang didapatkan dibawah 10,35%. Tingkat kesehatan BCA Syariah periode 2015-2019 berdasarkan Management (Manajemen) dengan menilai tingkat NPM (Net Profit Margin) mendapat predikat “Cukup Sehat”, karena nilai NPM yang didapatkan berada di kisaran 66%-80%. Tingkat kesehatan BCA Syariah periode 2015-2019 berdasarkan Earning (Rentabilitas) menggunakan dua rasio ROA dan BOPO. ROA tahun 2015-2019 mendapatkan kategori “Cukup Sehat”, karena nilai ROA yang didapatkan berada di kisaran 0,5%-1,24%. Sedangkan tingkat kesehatan rasio BOPO periode 2015-2019 berada pada predikat “Sangat Sehat”, karena nilai BOPO yang didapatkan lebih kecil dari 94%. Tingkat kesehatan BCA Syariah periode 2015-2019 berdasarkan Liquidity (Likuiditas) menggunakan rasio FDR (Finance to Deposit Ratio) didapatkan predikat “Cukup Sehat”, karena nilai FDR yang didapatkan berada dikisaran 85%-100%. Tingkat kesehatan BCA Syariah pada tahun 2015-2019 menggunakan metode CAMEL berada pada posisi “Cukup Sehat”. Dikarenakan nilai CAMEL yang diperoleh berada pada posisi kurang dari 81%, atau berada pada rentang 66%-80%. Artinya bank dinilai cukup mampu menghadapi pengaruh negatif yang signifikan dari perubahan kondisi bisnis, faktor eksternal lain tercermin dari peringkat faktor penilaian, antara lain profil risiko, penerapan tata kelola, rentabilitas, dan permodalan yang secara umum cukup baik.","author":[{"dropping-particle":"","family":"Purnama","given":"Yulia","non-dropping-particle":"","parse-names":false,"suffix":""}],"container-title":"EKSISBANK: Ekonomi Syariah dan Bisnis Perbankan","id":"ITEM-1","issue":"1","issued":{"date-parts":[["2022"]]},"page":"90-108","title":"Analisis Penilaian Tingkat Kesehatan Pada Bank Central Asia (BCA) Syariah Berdasarkan Metode Camel (Studi Kasus Pada PT Bank BCA Syariah Periode 2015-2019)","type":"article-journal","volume":"6"},"uris":["http://www.mendeley.com/documents/?uuid=bd8f13fa-f54d-44bc-907f-1105ac4e0da2"]}],"mendeley":{"formattedCitation":"[23]","plainTextFormattedCitation":"[23]","previouslyFormattedCitation":"[23]"},"properties":{"noteIndex":0},"schema":"https://github.com/citation-style-language/schema/raw/master/csl-citation.json"}</w:instrText>
      </w:r>
      <w:r w:rsidRPr="008A359D">
        <w:rPr>
          <w:sz w:val="20"/>
          <w:szCs w:val="20"/>
        </w:rPr>
        <w:fldChar w:fldCharType="separate"/>
      </w:r>
      <w:r w:rsidRPr="008A359D">
        <w:rPr>
          <w:noProof/>
          <w:sz w:val="20"/>
          <w:szCs w:val="20"/>
        </w:rPr>
        <w:t>[23]</w:t>
      </w:r>
      <w:r w:rsidRPr="008A359D">
        <w:rPr>
          <w:sz w:val="20"/>
          <w:szCs w:val="20"/>
        </w:rPr>
        <w:fldChar w:fldCharType="end"/>
      </w:r>
      <w:r w:rsidRPr="008A359D">
        <w:rPr>
          <w:sz w:val="20"/>
          <w:szCs w:val="20"/>
        </w:rPr>
        <w:t xml:space="preserve">. Rasio FDR (Financing to Deposit Ratio) adalah rasio yang menunjukkan kemampuan bank untuk melunasi seluruh kewajibannya, terutama simpanan tabungan, giro, dan deposito. Semakin besar rasio FDR, maka semakin rendah likuiditas bank tersebut tetapi memperlihatkan optimalitas bank dalam meningkatkan industri fisiknya. Hal ini dikarenakan bank tersebut dapat menyalurkan dana simpanan dengan baik </w:t>
      </w:r>
      <w:r w:rsidRPr="008A359D">
        <w:rPr>
          <w:sz w:val="20"/>
          <w:szCs w:val="20"/>
        </w:rPr>
        <w:fldChar w:fldCharType="begin" w:fldLock="1"/>
      </w:r>
      <w:r w:rsidRPr="008A359D">
        <w:rPr>
          <w:sz w:val="20"/>
          <w:szCs w:val="20"/>
        </w:rPr>
        <w:instrText>ADDIN CSL_CITATION {"citationItems":[{"id":"ITEM-1","itemData":{"DOI":"10.30762/wadiah.v5i1.3176","ISSN":"2599-1515","abstract":"This study aims to analyze the effect of Financing to Deposit Ratio (FDR)on Return On Asset (ROA) in Islamic banks, a subsidiary of BUMN. Thisresearch is classified as a descriptive quantitative research. This researchwas conducted at the Sharia Bank Subsidiaries of BUMN, namely BankSyariah Mandiri, Bank BRI Syariah, and Bank BNI Syariah. The data usedin this study are secondary data obtained from the quarterly financialreports for the 2011-2019 period. Data collection techniques throughliterature and documentation. The analysis method used in this research isSimple Regression Analysis, Descriptive Test, and Classical AssumptionTest. As for the hypothesis test used is the t test and the test ofdetermination (R2).From the results of the analysis, it shows that the FDRcondition is in the quite good category. Then for the ROA condition it is inthe quite good category. Based on several tests that have been carriedout, it is known that FDR does not have a significant effect on ROA. This isevidenced in the results of the Determination Test which shows that thesize of the FDR ratio is only able to affect the ROA ratio by 0.005 or 0.5%.This means that FDR has a very weak influence in increasing the ROA ofSharia Banks in BUMN Subsidiaries. This is due to other factors that moreinfluence ROA, such as CAR, NPF, and BOPO.","author":[{"dropping-particle":"","family":"Agustin Tri Lestari","given":"","non-dropping-particle":"","parse-names":false,"suffix":""}],"container-title":"Wadiah","id":"ITEM-1","issue":"1","issued":{"date-parts":[["2021"]]},"page":"34-60","title":"Pengaruh Financing To Deposit Ratio (Fdr) Terhadap Return on Asset (Roa) Pada Bank Syariah Anak Perusahaan Bumn Di Indonesia Periode 2011-2019","type":"article-journal","volume":"5"},"uris":["http://www.mendeley.com/documents/?uuid=20adf89a-8b19-49af-ab47-cfafffa82472"]}],"mendeley":{"formattedCitation":"[24]","plainTextFormattedCitation":"[24]","previouslyFormattedCitation":"[24]"},"properties":{"noteIndex":0},"schema":"https://github.com/citation-style-language/schema/raw/master/csl-citation.json"}</w:instrText>
      </w:r>
      <w:r w:rsidRPr="008A359D">
        <w:rPr>
          <w:sz w:val="20"/>
          <w:szCs w:val="20"/>
        </w:rPr>
        <w:fldChar w:fldCharType="separate"/>
      </w:r>
      <w:r w:rsidRPr="008A359D">
        <w:rPr>
          <w:noProof/>
          <w:sz w:val="20"/>
          <w:szCs w:val="20"/>
        </w:rPr>
        <w:t>[24]</w:t>
      </w:r>
      <w:r w:rsidRPr="008A359D">
        <w:rPr>
          <w:sz w:val="20"/>
          <w:szCs w:val="20"/>
        </w:rPr>
        <w:fldChar w:fldCharType="end"/>
      </w:r>
      <w:r w:rsidRPr="008A359D">
        <w:rPr>
          <w:sz w:val="20"/>
          <w:szCs w:val="20"/>
        </w:rPr>
        <w:t xml:space="preserve">. </w:t>
      </w:r>
    </w:p>
    <w:p w:rsidR="00816C00" w:rsidRPr="008A359D" w:rsidRDefault="00816C00" w:rsidP="00816C00">
      <w:pPr>
        <w:pBdr>
          <w:top w:val="nil"/>
          <w:left w:val="nil"/>
          <w:bottom w:val="nil"/>
          <w:right w:val="nil"/>
          <w:between w:val="nil"/>
        </w:pBdr>
        <w:ind w:firstLine="288"/>
        <w:jc w:val="both"/>
        <w:rPr>
          <w:sz w:val="20"/>
          <w:szCs w:val="20"/>
        </w:rPr>
      </w:pPr>
    </w:p>
    <w:p w:rsidR="00816C00" w:rsidRPr="008A359D" w:rsidRDefault="00816C00" w:rsidP="00816C00">
      <w:pPr>
        <w:pBdr>
          <w:top w:val="nil"/>
          <w:left w:val="nil"/>
          <w:bottom w:val="nil"/>
          <w:right w:val="nil"/>
          <w:between w:val="nil"/>
        </w:pBdr>
        <w:ind w:firstLine="288"/>
        <w:jc w:val="both"/>
        <w:rPr>
          <w:sz w:val="20"/>
          <w:szCs w:val="20"/>
        </w:rPr>
      </w:pPr>
    </w:p>
    <w:p w:rsidR="00816C00" w:rsidRPr="008A359D" w:rsidRDefault="00816C00" w:rsidP="00816C00">
      <w:pPr>
        <w:pBdr>
          <w:top w:val="nil"/>
          <w:left w:val="nil"/>
          <w:bottom w:val="nil"/>
          <w:right w:val="nil"/>
          <w:between w:val="nil"/>
        </w:pBdr>
        <w:ind w:firstLine="288"/>
        <w:jc w:val="both"/>
        <w:rPr>
          <w:sz w:val="20"/>
          <w:szCs w:val="20"/>
        </w:rPr>
      </w:pPr>
    </w:p>
    <w:p w:rsidR="00816C00" w:rsidRPr="008A359D" w:rsidRDefault="00816C00" w:rsidP="00816C00">
      <w:pPr>
        <w:pBdr>
          <w:top w:val="nil"/>
          <w:left w:val="nil"/>
          <w:bottom w:val="nil"/>
          <w:right w:val="nil"/>
          <w:between w:val="nil"/>
        </w:pBdr>
        <w:ind w:firstLine="288"/>
        <w:jc w:val="both"/>
        <w:rPr>
          <w:sz w:val="20"/>
          <w:szCs w:val="20"/>
        </w:rPr>
      </w:pPr>
    </w:p>
    <w:p w:rsidR="00816C00" w:rsidRPr="008A359D" w:rsidRDefault="00816C00" w:rsidP="00816C00">
      <w:pPr>
        <w:pStyle w:val="ListParagraph"/>
        <w:ind w:left="284"/>
        <w:jc w:val="center"/>
        <w:rPr>
          <w:sz w:val="20"/>
          <w:szCs w:val="20"/>
          <w:lang w:val="en-US"/>
        </w:rPr>
      </w:pPr>
      <w:r w:rsidRPr="008A359D">
        <w:rPr>
          <w:sz w:val="20"/>
          <w:szCs w:val="20"/>
          <w:lang w:val="en-US"/>
        </w:rPr>
        <w:lastRenderedPageBreak/>
        <w:t xml:space="preserve">Table 2. Tingkat Kesehatan Bank </w:t>
      </w:r>
      <w:proofErr w:type="spellStart"/>
      <w:r w:rsidRPr="008A359D">
        <w:rPr>
          <w:sz w:val="20"/>
          <w:szCs w:val="20"/>
          <w:lang w:val="en-US"/>
        </w:rPr>
        <w:t>dengan</w:t>
      </w:r>
      <w:proofErr w:type="spellEnd"/>
      <w:r w:rsidRPr="008A359D">
        <w:rPr>
          <w:sz w:val="20"/>
          <w:szCs w:val="20"/>
          <w:lang w:val="en-US"/>
        </w:rPr>
        <w:t xml:space="preserve"> </w:t>
      </w:r>
      <w:proofErr w:type="spellStart"/>
      <w:r w:rsidRPr="008A359D">
        <w:rPr>
          <w:sz w:val="20"/>
          <w:szCs w:val="20"/>
          <w:lang w:val="en-US"/>
        </w:rPr>
        <w:t>Rasio</w:t>
      </w:r>
      <w:proofErr w:type="spellEnd"/>
      <w:r w:rsidRPr="008A359D">
        <w:rPr>
          <w:sz w:val="20"/>
          <w:szCs w:val="20"/>
          <w:lang w:val="en-US"/>
        </w:rPr>
        <w:t xml:space="preserve"> </w:t>
      </w:r>
      <w:r w:rsidRPr="008A359D">
        <w:rPr>
          <w:i/>
          <w:iCs/>
          <w:sz w:val="20"/>
          <w:szCs w:val="20"/>
          <w:lang w:val="en-US"/>
        </w:rPr>
        <w:t xml:space="preserve">CAMEL </w:t>
      </w:r>
      <w:r w:rsidRPr="008A359D">
        <w:rPr>
          <w:i/>
          <w:iCs/>
          <w:sz w:val="20"/>
          <w:szCs w:val="20"/>
          <w:lang w:val="en-US"/>
        </w:rPr>
        <w:fldChar w:fldCharType="begin" w:fldLock="1"/>
      </w:r>
      <w:r w:rsidRPr="008A359D">
        <w:rPr>
          <w:i/>
          <w:iCs/>
          <w:sz w:val="20"/>
          <w:szCs w:val="20"/>
          <w:lang w:val="en-US"/>
        </w:rPr>
        <w:instrText>ADDIN CSL_CITATION {"citationItems":[{"id":"ITEM-1","itemData":{"abstract":"Menimbang: a. bahwa kesehatan bank merupakan sarana bagi otoritas pengawas dalam menetapkan strategi dan fokus pengawasan terhadap bank; b. bahwa perubahan kompleksitas usaha dan profil risiko yang dapat berasal dari bank maupun dari perusahaan anak bank serta perubahan pendekatan penilaian kondisi bank yang diterapkan secara internasional mempengaruhi pendekatan penilaian tingkat kesehatan bank; c. bahwa dalam rangka meningkatkan efektivitas penilaian tingkat kesehatan bank untuk menghadapi perubahan sebagaimana dimaksud pada huruf b diperlukan penyempurnaan penilaian tingkat kesehatan bank dengan pendekatan berdasarkan risiko; d. bahwa penilaian tingkat kesehatan bank juga perlu disesuaikan dengan penerapan pengawasan secara konsolidasi;","author":[{"dropping-particle":"","family":"PBI","given":"","non-dropping-particle":"","parse-names":false,"suffix":""}],"container-title":"Peraturan Bank Indonesia","id":"ITEM-1","issued":{"date-parts":[["2011"]]},"page":"1-31","title":"Peraturan Bank Indonesia No.13/1/PBI/2011 Tentang Penilaian Tingkat Kesehatan Bank Umum","type":"article-journal"},"uris":["http://www.mendeley.com/documents/?uuid=d706ef80-4fd3-4aa0-85bb-7d05413aa34c"]}],"mendeley":{"formattedCitation":"[10]","plainTextFormattedCitation":"[10]","previouslyFormattedCitation":"[10]"},"properties":{"noteIndex":0},"schema":"https://github.com/citation-style-language/schema/raw/master/csl-citation.json"}</w:instrText>
      </w:r>
      <w:r w:rsidRPr="008A359D">
        <w:rPr>
          <w:i/>
          <w:iCs/>
          <w:sz w:val="20"/>
          <w:szCs w:val="20"/>
          <w:lang w:val="en-US"/>
        </w:rPr>
        <w:fldChar w:fldCharType="separate"/>
      </w:r>
      <w:r w:rsidRPr="008A359D">
        <w:rPr>
          <w:iCs/>
          <w:noProof/>
          <w:sz w:val="20"/>
          <w:szCs w:val="20"/>
          <w:lang w:val="en-US"/>
        </w:rPr>
        <w:t>[10]</w:t>
      </w:r>
      <w:r w:rsidRPr="008A359D">
        <w:rPr>
          <w:i/>
          <w:iCs/>
          <w:sz w:val="20"/>
          <w:szCs w:val="20"/>
          <w:lang w:val="en-US"/>
        </w:rPr>
        <w:fldChar w:fldCharType="end"/>
      </w:r>
    </w:p>
    <w:tbl>
      <w:tblPr>
        <w:tblStyle w:val="TableGrid"/>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418"/>
        <w:gridCol w:w="1559"/>
        <w:gridCol w:w="1739"/>
        <w:gridCol w:w="1521"/>
        <w:gridCol w:w="1701"/>
      </w:tblGrid>
      <w:tr w:rsidR="00816C00" w:rsidRPr="008A359D" w:rsidTr="00581DB9">
        <w:trPr>
          <w:trHeight w:val="68"/>
        </w:trPr>
        <w:tc>
          <w:tcPr>
            <w:tcW w:w="992" w:type="dxa"/>
            <w:tcBorders>
              <w:top w:val="single" w:sz="4" w:space="0" w:color="auto"/>
              <w:bottom w:val="single" w:sz="4" w:space="0" w:color="auto"/>
            </w:tcBorders>
          </w:tcPr>
          <w:p w:rsidR="00816C00" w:rsidRPr="008A359D" w:rsidRDefault="00816C00" w:rsidP="00581DB9">
            <w:pPr>
              <w:pStyle w:val="ListParagraph"/>
              <w:ind w:left="0"/>
              <w:jc w:val="center"/>
              <w:rPr>
                <w:b/>
                <w:bCs/>
                <w:sz w:val="20"/>
                <w:szCs w:val="20"/>
              </w:rPr>
            </w:pPr>
            <w:proofErr w:type="spellStart"/>
            <w:r w:rsidRPr="008A359D">
              <w:rPr>
                <w:b/>
                <w:bCs/>
                <w:sz w:val="20"/>
                <w:szCs w:val="20"/>
              </w:rPr>
              <w:t>Kriteria</w:t>
            </w:r>
            <w:proofErr w:type="spellEnd"/>
          </w:p>
        </w:tc>
        <w:tc>
          <w:tcPr>
            <w:tcW w:w="1418" w:type="dxa"/>
            <w:tcBorders>
              <w:top w:val="single" w:sz="4" w:space="0" w:color="auto"/>
              <w:bottom w:val="single" w:sz="4" w:space="0" w:color="auto"/>
            </w:tcBorders>
          </w:tcPr>
          <w:p w:rsidR="00816C00" w:rsidRPr="008A359D" w:rsidRDefault="00816C00" w:rsidP="00581DB9">
            <w:pPr>
              <w:pStyle w:val="ListParagraph"/>
              <w:ind w:left="0"/>
              <w:jc w:val="center"/>
              <w:rPr>
                <w:b/>
                <w:bCs/>
                <w:sz w:val="20"/>
                <w:szCs w:val="20"/>
              </w:rPr>
            </w:pPr>
            <w:r w:rsidRPr="008A359D">
              <w:rPr>
                <w:b/>
                <w:bCs/>
                <w:i/>
                <w:iCs/>
                <w:sz w:val="20"/>
                <w:szCs w:val="20"/>
              </w:rPr>
              <w:t>CAR</w:t>
            </w:r>
            <w:r w:rsidRPr="008A359D">
              <w:rPr>
                <w:b/>
                <w:bCs/>
                <w:sz w:val="20"/>
                <w:szCs w:val="20"/>
              </w:rPr>
              <w:t xml:space="preserve"> (C)</w:t>
            </w:r>
          </w:p>
        </w:tc>
        <w:tc>
          <w:tcPr>
            <w:tcW w:w="1559" w:type="dxa"/>
            <w:tcBorders>
              <w:top w:val="single" w:sz="4" w:space="0" w:color="auto"/>
              <w:bottom w:val="single" w:sz="4" w:space="0" w:color="auto"/>
            </w:tcBorders>
          </w:tcPr>
          <w:p w:rsidR="00816C00" w:rsidRPr="008A359D" w:rsidRDefault="00816C00" w:rsidP="00581DB9">
            <w:pPr>
              <w:pStyle w:val="ListParagraph"/>
              <w:ind w:left="0"/>
              <w:jc w:val="center"/>
              <w:rPr>
                <w:b/>
                <w:bCs/>
                <w:sz w:val="20"/>
                <w:szCs w:val="20"/>
              </w:rPr>
            </w:pPr>
            <w:r w:rsidRPr="008A359D">
              <w:rPr>
                <w:b/>
                <w:bCs/>
                <w:i/>
                <w:iCs/>
                <w:sz w:val="20"/>
                <w:szCs w:val="20"/>
              </w:rPr>
              <w:t>ROA</w:t>
            </w:r>
            <w:r w:rsidRPr="008A359D">
              <w:rPr>
                <w:b/>
                <w:bCs/>
                <w:sz w:val="20"/>
                <w:szCs w:val="20"/>
              </w:rPr>
              <w:t xml:space="preserve"> (A)</w:t>
            </w:r>
          </w:p>
        </w:tc>
        <w:tc>
          <w:tcPr>
            <w:tcW w:w="1739" w:type="dxa"/>
            <w:tcBorders>
              <w:top w:val="single" w:sz="4" w:space="0" w:color="auto"/>
              <w:bottom w:val="single" w:sz="4" w:space="0" w:color="auto"/>
            </w:tcBorders>
          </w:tcPr>
          <w:p w:rsidR="00816C00" w:rsidRPr="008A359D" w:rsidRDefault="00816C00" w:rsidP="00581DB9">
            <w:pPr>
              <w:pStyle w:val="ListParagraph"/>
              <w:ind w:left="0"/>
              <w:jc w:val="center"/>
              <w:rPr>
                <w:b/>
                <w:bCs/>
                <w:sz w:val="20"/>
                <w:szCs w:val="20"/>
              </w:rPr>
            </w:pPr>
            <w:r w:rsidRPr="008A359D">
              <w:rPr>
                <w:b/>
                <w:bCs/>
                <w:i/>
                <w:iCs/>
                <w:sz w:val="20"/>
                <w:szCs w:val="20"/>
              </w:rPr>
              <w:t>NPM</w:t>
            </w:r>
            <w:r w:rsidRPr="008A359D">
              <w:rPr>
                <w:b/>
                <w:bCs/>
                <w:sz w:val="20"/>
                <w:szCs w:val="20"/>
              </w:rPr>
              <w:t xml:space="preserve"> (M)</w:t>
            </w:r>
          </w:p>
        </w:tc>
        <w:tc>
          <w:tcPr>
            <w:tcW w:w="1521" w:type="dxa"/>
            <w:tcBorders>
              <w:top w:val="single" w:sz="4" w:space="0" w:color="auto"/>
              <w:bottom w:val="single" w:sz="4" w:space="0" w:color="auto"/>
            </w:tcBorders>
          </w:tcPr>
          <w:p w:rsidR="00816C00" w:rsidRPr="008A359D" w:rsidRDefault="00816C00" w:rsidP="00581DB9">
            <w:pPr>
              <w:pStyle w:val="ListParagraph"/>
              <w:ind w:left="0"/>
              <w:jc w:val="center"/>
              <w:rPr>
                <w:b/>
                <w:bCs/>
                <w:sz w:val="20"/>
                <w:szCs w:val="20"/>
              </w:rPr>
            </w:pPr>
            <w:r w:rsidRPr="008A359D">
              <w:rPr>
                <w:b/>
                <w:bCs/>
                <w:i/>
                <w:iCs/>
                <w:sz w:val="20"/>
                <w:szCs w:val="20"/>
              </w:rPr>
              <w:t>BOPO</w:t>
            </w:r>
            <w:r w:rsidRPr="008A359D">
              <w:rPr>
                <w:b/>
                <w:bCs/>
                <w:sz w:val="20"/>
                <w:szCs w:val="20"/>
              </w:rPr>
              <w:t xml:space="preserve"> (E)</w:t>
            </w:r>
          </w:p>
        </w:tc>
        <w:tc>
          <w:tcPr>
            <w:tcW w:w="1701" w:type="dxa"/>
            <w:tcBorders>
              <w:top w:val="single" w:sz="4" w:space="0" w:color="auto"/>
              <w:bottom w:val="single" w:sz="4" w:space="0" w:color="auto"/>
            </w:tcBorders>
          </w:tcPr>
          <w:p w:rsidR="00816C00" w:rsidRPr="008A359D" w:rsidRDefault="00816C00" w:rsidP="00581DB9">
            <w:pPr>
              <w:pStyle w:val="ListParagraph"/>
              <w:ind w:left="0"/>
              <w:jc w:val="center"/>
              <w:rPr>
                <w:b/>
                <w:bCs/>
                <w:sz w:val="20"/>
                <w:szCs w:val="20"/>
              </w:rPr>
            </w:pPr>
            <w:r w:rsidRPr="008A359D">
              <w:rPr>
                <w:b/>
                <w:bCs/>
                <w:i/>
                <w:iCs/>
                <w:sz w:val="20"/>
                <w:szCs w:val="20"/>
              </w:rPr>
              <w:t>FDR</w:t>
            </w:r>
            <w:r w:rsidRPr="008A359D">
              <w:rPr>
                <w:b/>
                <w:bCs/>
                <w:sz w:val="20"/>
                <w:szCs w:val="20"/>
              </w:rPr>
              <w:t xml:space="preserve"> (L)</w:t>
            </w:r>
          </w:p>
        </w:tc>
      </w:tr>
      <w:tr w:rsidR="00816C00" w:rsidRPr="008A359D" w:rsidTr="005C03F6">
        <w:tc>
          <w:tcPr>
            <w:tcW w:w="992" w:type="dxa"/>
            <w:tcBorders>
              <w:top w:val="single" w:sz="4" w:space="0" w:color="auto"/>
            </w:tcBorders>
          </w:tcPr>
          <w:p w:rsidR="00816C00" w:rsidRPr="008A359D" w:rsidRDefault="00816C00" w:rsidP="00581DB9">
            <w:pPr>
              <w:pStyle w:val="ListParagraph"/>
              <w:ind w:left="0"/>
              <w:jc w:val="center"/>
              <w:rPr>
                <w:sz w:val="20"/>
                <w:szCs w:val="20"/>
              </w:rPr>
            </w:pPr>
            <w:r w:rsidRPr="008A359D">
              <w:rPr>
                <w:sz w:val="20"/>
                <w:szCs w:val="20"/>
              </w:rPr>
              <w:t>Sangat Sehat</w:t>
            </w:r>
          </w:p>
        </w:tc>
        <w:tc>
          <w:tcPr>
            <w:tcW w:w="1418" w:type="dxa"/>
            <w:tcBorders>
              <w:top w:val="single" w:sz="4" w:space="0" w:color="auto"/>
            </w:tcBorders>
          </w:tcPr>
          <w:p w:rsidR="00816C00" w:rsidRPr="008A359D" w:rsidRDefault="00816C00" w:rsidP="00581DB9">
            <w:pPr>
              <w:pStyle w:val="ListParagraph"/>
              <w:ind w:left="0"/>
              <w:jc w:val="center"/>
              <w:rPr>
                <w:sz w:val="20"/>
                <w:szCs w:val="20"/>
              </w:rPr>
            </w:pPr>
            <w:r w:rsidRPr="008A359D">
              <w:rPr>
                <w:i/>
                <w:iCs/>
                <w:sz w:val="20"/>
                <w:szCs w:val="20"/>
              </w:rPr>
              <w:t xml:space="preserve">CAR </w:t>
            </w:r>
            <w:r w:rsidRPr="008A359D">
              <w:rPr>
                <w:sz w:val="20"/>
                <w:szCs w:val="20"/>
                <w:u w:val="single"/>
              </w:rPr>
              <w:t>&gt;</w:t>
            </w:r>
            <w:r w:rsidRPr="008A359D">
              <w:rPr>
                <w:sz w:val="20"/>
                <w:szCs w:val="20"/>
              </w:rPr>
              <w:t>12%</w:t>
            </w:r>
          </w:p>
        </w:tc>
        <w:tc>
          <w:tcPr>
            <w:tcW w:w="1559" w:type="dxa"/>
            <w:tcBorders>
              <w:top w:val="single" w:sz="4" w:space="0" w:color="auto"/>
            </w:tcBorders>
          </w:tcPr>
          <w:p w:rsidR="00816C00" w:rsidRPr="008A359D" w:rsidRDefault="00816C00" w:rsidP="00581DB9">
            <w:pPr>
              <w:pStyle w:val="ListParagraph"/>
              <w:ind w:left="0"/>
              <w:jc w:val="center"/>
              <w:rPr>
                <w:sz w:val="20"/>
                <w:szCs w:val="20"/>
              </w:rPr>
            </w:pPr>
            <w:r w:rsidRPr="008A359D">
              <w:rPr>
                <w:i/>
                <w:iCs/>
                <w:sz w:val="20"/>
                <w:szCs w:val="20"/>
              </w:rPr>
              <w:t>ROA</w:t>
            </w:r>
            <w:r w:rsidRPr="008A359D">
              <w:rPr>
                <w:sz w:val="20"/>
                <w:szCs w:val="20"/>
              </w:rPr>
              <w:t xml:space="preserve"> &gt; 1,5%</w:t>
            </w:r>
          </w:p>
        </w:tc>
        <w:tc>
          <w:tcPr>
            <w:tcW w:w="1739" w:type="dxa"/>
            <w:tcBorders>
              <w:top w:val="single" w:sz="4" w:space="0" w:color="auto"/>
            </w:tcBorders>
          </w:tcPr>
          <w:p w:rsidR="00816C00" w:rsidRPr="008A359D" w:rsidRDefault="00816C00" w:rsidP="00581DB9">
            <w:pPr>
              <w:pStyle w:val="ListParagraph"/>
              <w:ind w:left="0"/>
              <w:jc w:val="center"/>
              <w:rPr>
                <w:sz w:val="20"/>
                <w:szCs w:val="20"/>
              </w:rPr>
            </w:pPr>
            <w:r w:rsidRPr="008A359D">
              <w:rPr>
                <w:i/>
                <w:iCs/>
                <w:sz w:val="20"/>
                <w:szCs w:val="20"/>
              </w:rPr>
              <w:t>NPM</w:t>
            </w:r>
            <w:r w:rsidRPr="008A359D">
              <w:rPr>
                <w:sz w:val="20"/>
                <w:szCs w:val="20"/>
              </w:rPr>
              <w:t xml:space="preserve"> </w:t>
            </w:r>
            <w:r w:rsidRPr="008A359D">
              <w:rPr>
                <w:sz w:val="20"/>
                <w:szCs w:val="20"/>
                <w:u w:val="single"/>
              </w:rPr>
              <w:t>&gt;</w:t>
            </w:r>
            <w:r w:rsidRPr="008A359D">
              <w:rPr>
                <w:sz w:val="20"/>
                <w:szCs w:val="20"/>
              </w:rPr>
              <w:t xml:space="preserve"> 100%</w:t>
            </w:r>
          </w:p>
        </w:tc>
        <w:tc>
          <w:tcPr>
            <w:tcW w:w="1521" w:type="dxa"/>
            <w:tcBorders>
              <w:top w:val="single" w:sz="4" w:space="0" w:color="auto"/>
            </w:tcBorders>
          </w:tcPr>
          <w:p w:rsidR="00816C00" w:rsidRPr="008A359D" w:rsidRDefault="00816C00" w:rsidP="00581DB9">
            <w:pPr>
              <w:pStyle w:val="ListParagraph"/>
              <w:ind w:left="0"/>
              <w:jc w:val="center"/>
              <w:rPr>
                <w:sz w:val="20"/>
                <w:szCs w:val="20"/>
              </w:rPr>
            </w:pPr>
            <w:r w:rsidRPr="008A359D">
              <w:rPr>
                <w:i/>
                <w:iCs/>
                <w:sz w:val="20"/>
                <w:szCs w:val="20"/>
              </w:rPr>
              <w:t>BOPO</w:t>
            </w:r>
            <w:r w:rsidRPr="008A359D">
              <w:rPr>
                <w:sz w:val="20"/>
                <w:szCs w:val="20"/>
              </w:rPr>
              <w:t xml:space="preserve"> </w:t>
            </w:r>
            <w:r w:rsidRPr="008A359D">
              <w:rPr>
                <w:sz w:val="20"/>
                <w:szCs w:val="20"/>
                <w:u w:val="single"/>
              </w:rPr>
              <w:t>&lt;</w:t>
            </w:r>
            <w:r w:rsidRPr="008A359D">
              <w:rPr>
                <w:sz w:val="20"/>
                <w:szCs w:val="20"/>
              </w:rPr>
              <w:t xml:space="preserve"> 94%</w:t>
            </w:r>
          </w:p>
        </w:tc>
        <w:tc>
          <w:tcPr>
            <w:tcW w:w="1701" w:type="dxa"/>
            <w:tcBorders>
              <w:top w:val="single" w:sz="4" w:space="0" w:color="auto"/>
            </w:tcBorders>
          </w:tcPr>
          <w:p w:rsidR="00816C00" w:rsidRPr="008A359D" w:rsidRDefault="00816C00" w:rsidP="00581DB9">
            <w:pPr>
              <w:pStyle w:val="ListParagraph"/>
              <w:ind w:left="0"/>
              <w:jc w:val="center"/>
              <w:rPr>
                <w:sz w:val="20"/>
                <w:szCs w:val="20"/>
              </w:rPr>
            </w:pPr>
            <w:r w:rsidRPr="008A359D">
              <w:rPr>
                <w:i/>
                <w:iCs/>
                <w:sz w:val="20"/>
                <w:szCs w:val="20"/>
              </w:rPr>
              <w:t>FDR</w:t>
            </w:r>
            <w:r w:rsidRPr="008A359D">
              <w:rPr>
                <w:sz w:val="20"/>
                <w:szCs w:val="20"/>
              </w:rPr>
              <w:t xml:space="preserve"> &lt; 75%</w:t>
            </w:r>
          </w:p>
        </w:tc>
      </w:tr>
      <w:tr w:rsidR="00816C00" w:rsidRPr="008A359D" w:rsidTr="005C03F6">
        <w:tc>
          <w:tcPr>
            <w:tcW w:w="992" w:type="dxa"/>
          </w:tcPr>
          <w:p w:rsidR="00816C00" w:rsidRPr="008A359D" w:rsidRDefault="00816C00" w:rsidP="00581DB9">
            <w:pPr>
              <w:pStyle w:val="ListParagraph"/>
              <w:ind w:left="0"/>
              <w:jc w:val="center"/>
              <w:rPr>
                <w:sz w:val="20"/>
                <w:szCs w:val="20"/>
              </w:rPr>
            </w:pPr>
            <w:r w:rsidRPr="008A359D">
              <w:rPr>
                <w:sz w:val="20"/>
                <w:szCs w:val="20"/>
              </w:rPr>
              <w:t>Sehat</w:t>
            </w:r>
          </w:p>
        </w:tc>
        <w:tc>
          <w:tcPr>
            <w:tcW w:w="1418" w:type="dxa"/>
          </w:tcPr>
          <w:p w:rsidR="00816C00" w:rsidRPr="008A359D" w:rsidRDefault="00816C00" w:rsidP="00581DB9">
            <w:pPr>
              <w:pStyle w:val="ListParagraph"/>
              <w:ind w:left="0"/>
              <w:jc w:val="center"/>
              <w:rPr>
                <w:sz w:val="20"/>
                <w:szCs w:val="20"/>
              </w:rPr>
            </w:pPr>
            <w:r w:rsidRPr="008A359D">
              <w:rPr>
                <w:sz w:val="20"/>
                <w:szCs w:val="20"/>
              </w:rPr>
              <w:t xml:space="preserve">9% </w:t>
            </w:r>
            <w:r w:rsidRPr="008A359D">
              <w:rPr>
                <w:sz w:val="20"/>
                <w:szCs w:val="20"/>
                <w:u w:val="single"/>
              </w:rPr>
              <w:t>&lt;</w:t>
            </w:r>
            <w:r w:rsidRPr="008A359D">
              <w:rPr>
                <w:sz w:val="20"/>
                <w:szCs w:val="20"/>
              </w:rPr>
              <w:t xml:space="preserve"> </w:t>
            </w:r>
            <w:r w:rsidRPr="008A359D">
              <w:rPr>
                <w:i/>
                <w:iCs/>
                <w:sz w:val="20"/>
                <w:szCs w:val="20"/>
              </w:rPr>
              <w:t>CAR</w:t>
            </w:r>
            <w:r w:rsidRPr="008A359D">
              <w:rPr>
                <w:sz w:val="20"/>
                <w:szCs w:val="20"/>
              </w:rPr>
              <w:t xml:space="preserve"> &lt; 12%</w:t>
            </w:r>
          </w:p>
        </w:tc>
        <w:tc>
          <w:tcPr>
            <w:tcW w:w="1559" w:type="dxa"/>
          </w:tcPr>
          <w:p w:rsidR="00816C00" w:rsidRPr="008A359D" w:rsidRDefault="00816C00" w:rsidP="00581DB9">
            <w:pPr>
              <w:pStyle w:val="ListParagraph"/>
              <w:ind w:left="0"/>
              <w:jc w:val="center"/>
              <w:rPr>
                <w:sz w:val="20"/>
                <w:szCs w:val="20"/>
              </w:rPr>
            </w:pPr>
            <w:r w:rsidRPr="008A359D">
              <w:rPr>
                <w:sz w:val="20"/>
                <w:szCs w:val="20"/>
              </w:rPr>
              <w:t xml:space="preserve">1,25% &lt; </w:t>
            </w:r>
            <w:r w:rsidRPr="008A359D">
              <w:rPr>
                <w:i/>
                <w:iCs/>
                <w:sz w:val="20"/>
                <w:szCs w:val="20"/>
              </w:rPr>
              <w:t>ROA</w:t>
            </w:r>
            <w:r w:rsidRPr="008A359D">
              <w:rPr>
                <w:sz w:val="20"/>
                <w:szCs w:val="20"/>
              </w:rPr>
              <w:t xml:space="preserve"> </w:t>
            </w:r>
            <w:r w:rsidRPr="008A359D">
              <w:rPr>
                <w:sz w:val="20"/>
                <w:szCs w:val="20"/>
                <w:u w:val="single"/>
              </w:rPr>
              <w:t>&lt;</w:t>
            </w:r>
            <w:r w:rsidRPr="008A359D">
              <w:rPr>
                <w:sz w:val="20"/>
                <w:szCs w:val="20"/>
              </w:rPr>
              <w:t xml:space="preserve"> 1,5%</w:t>
            </w:r>
          </w:p>
        </w:tc>
        <w:tc>
          <w:tcPr>
            <w:tcW w:w="1739" w:type="dxa"/>
          </w:tcPr>
          <w:p w:rsidR="00816C00" w:rsidRPr="008A359D" w:rsidRDefault="00816C00" w:rsidP="00581DB9">
            <w:pPr>
              <w:pStyle w:val="ListParagraph"/>
              <w:ind w:left="0"/>
              <w:jc w:val="center"/>
              <w:rPr>
                <w:sz w:val="20"/>
                <w:szCs w:val="20"/>
              </w:rPr>
            </w:pPr>
            <w:r w:rsidRPr="008A359D">
              <w:rPr>
                <w:sz w:val="20"/>
                <w:szCs w:val="20"/>
              </w:rPr>
              <w:t xml:space="preserve">81% </w:t>
            </w:r>
            <w:r w:rsidRPr="008A359D">
              <w:rPr>
                <w:sz w:val="20"/>
                <w:szCs w:val="20"/>
                <w:u w:val="single"/>
              </w:rPr>
              <w:t>&lt;</w:t>
            </w:r>
            <w:r w:rsidRPr="008A359D">
              <w:rPr>
                <w:sz w:val="20"/>
                <w:szCs w:val="20"/>
              </w:rPr>
              <w:t xml:space="preserve"> </w:t>
            </w:r>
            <w:r w:rsidRPr="008A359D">
              <w:rPr>
                <w:i/>
                <w:iCs/>
                <w:sz w:val="20"/>
                <w:szCs w:val="20"/>
              </w:rPr>
              <w:t>NPM</w:t>
            </w:r>
            <w:r w:rsidRPr="008A359D">
              <w:rPr>
                <w:sz w:val="20"/>
                <w:szCs w:val="20"/>
              </w:rPr>
              <w:t xml:space="preserve"> &lt; 100%</w:t>
            </w:r>
          </w:p>
        </w:tc>
        <w:tc>
          <w:tcPr>
            <w:tcW w:w="1521" w:type="dxa"/>
          </w:tcPr>
          <w:p w:rsidR="00816C00" w:rsidRPr="008A359D" w:rsidRDefault="00816C00" w:rsidP="00581DB9">
            <w:pPr>
              <w:pStyle w:val="ListParagraph"/>
              <w:ind w:left="0"/>
              <w:jc w:val="center"/>
              <w:rPr>
                <w:sz w:val="20"/>
                <w:szCs w:val="20"/>
              </w:rPr>
            </w:pPr>
            <w:r w:rsidRPr="008A359D">
              <w:rPr>
                <w:sz w:val="20"/>
                <w:szCs w:val="20"/>
              </w:rPr>
              <w:t xml:space="preserve">94% &lt; </w:t>
            </w:r>
            <w:r w:rsidRPr="008A359D">
              <w:rPr>
                <w:i/>
                <w:iCs/>
                <w:sz w:val="20"/>
                <w:szCs w:val="20"/>
              </w:rPr>
              <w:t>BOPO</w:t>
            </w:r>
            <w:r w:rsidRPr="008A359D">
              <w:rPr>
                <w:sz w:val="20"/>
                <w:szCs w:val="20"/>
              </w:rPr>
              <w:t xml:space="preserve"> </w:t>
            </w:r>
            <w:r w:rsidRPr="008A359D">
              <w:rPr>
                <w:sz w:val="20"/>
                <w:szCs w:val="20"/>
                <w:u w:val="single"/>
              </w:rPr>
              <w:t>&lt;</w:t>
            </w:r>
            <w:r w:rsidRPr="008A359D">
              <w:rPr>
                <w:sz w:val="20"/>
                <w:szCs w:val="20"/>
              </w:rPr>
              <w:t xml:space="preserve"> 95%</w:t>
            </w:r>
          </w:p>
        </w:tc>
        <w:tc>
          <w:tcPr>
            <w:tcW w:w="1701" w:type="dxa"/>
          </w:tcPr>
          <w:p w:rsidR="00816C00" w:rsidRPr="008A359D" w:rsidRDefault="00816C00" w:rsidP="00581DB9">
            <w:pPr>
              <w:pStyle w:val="ListParagraph"/>
              <w:ind w:left="0"/>
              <w:jc w:val="center"/>
              <w:rPr>
                <w:sz w:val="20"/>
                <w:szCs w:val="20"/>
              </w:rPr>
            </w:pPr>
            <w:r w:rsidRPr="008A359D">
              <w:rPr>
                <w:sz w:val="20"/>
                <w:szCs w:val="20"/>
              </w:rPr>
              <w:t xml:space="preserve">75% </w:t>
            </w:r>
            <w:r w:rsidRPr="008A359D">
              <w:rPr>
                <w:sz w:val="20"/>
                <w:szCs w:val="20"/>
                <w:u w:val="single"/>
              </w:rPr>
              <w:t>&lt;</w:t>
            </w:r>
            <w:r w:rsidRPr="008A359D">
              <w:rPr>
                <w:sz w:val="20"/>
                <w:szCs w:val="20"/>
              </w:rPr>
              <w:t xml:space="preserve"> </w:t>
            </w:r>
            <w:r w:rsidRPr="008A359D">
              <w:rPr>
                <w:i/>
                <w:iCs/>
                <w:sz w:val="20"/>
                <w:szCs w:val="20"/>
              </w:rPr>
              <w:t>FDR &lt;</w:t>
            </w:r>
            <w:r w:rsidRPr="008A359D">
              <w:rPr>
                <w:sz w:val="20"/>
                <w:szCs w:val="20"/>
              </w:rPr>
              <w:t xml:space="preserve"> 85%</w:t>
            </w:r>
          </w:p>
        </w:tc>
      </w:tr>
      <w:tr w:rsidR="00816C00" w:rsidRPr="008A359D" w:rsidTr="005C03F6">
        <w:tc>
          <w:tcPr>
            <w:tcW w:w="992" w:type="dxa"/>
          </w:tcPr>
          <w:p w:rsidR="00816C00" w:rsidRPr="008A359D" w:rsidRDefault="00816C00" w:rsidP="00581DB9">
            <w:pPr>
              <w:pStyle w:val="ListParagraph"/>
              <w:ind w:left="0"/>
              <w:jc w:val="center"/>
              <w:rPr>
                <w:sz w:val="20"/>
                <w:szCs w:val="20"/>
              </w:rPr>
            </w:pPr>
            <w:proofErr w:type="spellStart"/>
            <w:r w:rsidRPr="008A359D">
              <w:rPr>
                <w:sz w:val="20"/>
                <w:szCs w:val="20"/>
              </w:rPr>
              <w:t>Cukup</w:t>
            </w:r>
            <w:proofErr w:type="spellEnd"/>
            <w:r w:rsidRPr="008A359D">
              <w:rPr>
                <w:sz w:val="20"/>
                <w:szCs w:val="20"/>
              </w:rPr>
              <w:t xml:space="preserve"> Sehat</w:t>
            </w:r>
          </w:p>
        </w:tc>
        <w:tc>
          <w:tcPr>
            <w:tcW w:w="1418" w:type="dxa"/>
          </w:tcPr>
          <w:p w:rsidR="00816C00" w:rsidRPr="008A359D" w:rsidRDefault="00816C00" w:rsidP="00581DB9">
            <w:pPr>
              <w:pStyle w:val="ListParagraph"/>
              <w:ind w:left="0"/>
              <w:jc w:val="center"/>
              <w:rPr>
                <w:sz w:val="20"/>
                <w:szCs w:val="20"/>
              </w:rPr>
            </w:pPr>
            <w:r w:rsidRPr="008A359D">
              <w:rPr>
                <w:sz w:val="20"/>
                <w:szCs w:val="20"/>
              </w:rPr>
              <w:t xml:space="preserve">8% </w:t>
            </w:r>
            <w:r w:rsidRPr="008A359D">
              <w:rPr>
                <w:sz w:val="20"/>
                <w:szCs w:val="20"/>
                <w:u w:val="single"/>
              </w:rPr>
              <w:t>&lt;</w:t>
            </w:r>
            <w:r w:rsidRPr="008A359D">
              <w:rPr>
                <w:sz w:val="20"/>
                <w:szCs w:val="20"/>
              </w:rPr>
              <w:t xml:space="preserve"> </w:t>
            </w:r>
            <w:r w:rsidRPr="008A359D">
              <w:rPr>
                <w:i/>
                <w:iCs/>
                <w:sz w:val="20"/>
                <w:szCs w:val="20"/>
              </w:rPr>
              <w:t>CAR</w:t>
            </w:r>
            <w:r w:rsidRPr="008A359D">
              <w:rPr>
                <w:sz w:val="20"/>
                <w:szCs w:val="20"/>
              </w:rPr>
              <w:t xml:space="preserve"> &lt; 9%</w:t>
            </w:r>
          </w:p>
        </w:tc>
        <w:tc>
          <w:tcPr>
            <w:tcW w:w="1559" w:type="dxa"/>
          </w:tcPr>
          <w:p w:rsidR="00816C00" w:rsidRPr="008A359D" w:rsidRDefault="00816C00" w:rsidP="00581DB9">
            <w:pPr>
              <w:pStyle w:val="ListParagraph"/>
              <w:ind w:left="0"/>
              <w:jc w:val="center"/>
              <w:rPr>
                <w:sz w:val="20"/>
                <w:szCs w:val="20"/>
              </w:rPr>
            </w:pPr>
            <w:r w:rsidRPr="008A359D">
              <w:rPr>
                <w:sz w:val="20"/>
                <w:szCs w:val="20"/>
              </w:rPr>
              <w:t xml:space="preserve">0,5% &lt; </w:t>
            </w:r>
            <w:r w:rsidRPr="008A359D">
              <w:rPr>
                <w:i/>
                <w:iCs/>
                <w:sz w:val="20"/>
                <w:szCs w:val="20"/>
              </w:rPr>
              <w:t>ROA</w:t>
            </w:r>
            <w:r w:rsidRPr="008A359D">
              <w:rPr>
                <w:sz w:val="20"/>
                <w:szCs w:val="20"/>
              </w:rPr>
              <w:t xml:space="preserve"> </w:t>
            </w:r>
            <w:r w:rsidRPr="008A359D">
              <w:rPr>
                <w:sz w:val="20"/>
                <w:szCs w:val="20"/>
                <w:u w:val="single"/>
              </w:rPr>
              <w:t>&lt;</w:t>
            </w:r>
            <w:r w:rsidRPr="008A359D">
              <w:rPr>
                <w:sz w:val="20"/>
                <w:szCs w:val="20"/>
              </w:rPr>
              <w:t xml:space="preserve"> 1,25%</w:t>
            </w:r>
          </w:p>
        </w:tc>
        <w:tc>
          <w:tcPr>
            <w:tcW w:w="1739" w:type="dxa"/>
          </w:tcPr>
          <w:p w:rsidR="00816C00" w:rsidRPr="008A359D" w:rsidRDefault="00816C00" w:rsidP="00581DB9">
            <w:pPr>
              <w:pStyle w:val="ListParagraph"/>
              <w:ind w:left="0"/>
              <w:jc w:val="center"/>
              <w:rPr>
                <w:sz w:val="20"/>
                <w:szCs w:val="20"/>
              </w:rPr>
            </w:pPr>
            <w:r w:rsidRPr="008A359D">
              <w:rPr>
                <w:sz w:val="20"/>
                <w:szCs w:val="20"/>
              </w:rPr>
              <w:t xml:space="preserve">66% </w:t>
            </w:r>
            <w:r w:rsidRPr="008A359D">
              <w:rPr>
                <w:sz w:val="20"/>
                <w:szCs w:val="20"/>
                <w:u w:val="single"/>
              </w:rPr>
              <w:t>&lt;</w:t>
            </w:r>
            <w:r w:rsidRPr="008A359D">
              <w:rPr>
                <w:sz w:val="20"/>
                <w:szCs w:val="20"/>
              </w:rPr>
              <w:t xml:space="preserve"> </w:t>
            </w:r>
            <w:r w:rsidRPr="008A359D">
              <w:rPr>
                <w:i/>
                <w:iCs/>
                <w:sz w:val="20"/>
                <w:szCs w:val="20"/>
              </w:rPr>
              <w:t>NPM</w:t>
            </w:r>
            <w:r w:rsidRPr="008A359D">
              <w:rPr>
                <w:sz w:val="20"/>
                <w:szCs w:val="20"/>
              </w:rPr>
              <w:t xml:space="preserve"> &lt; 81%</w:t>
            </w:r>
          </w:p>
        </w:tc>
        <w:tc>
          <w:tcPr>
            <w:tcW w:w="1521" w:type="dxa"/>
          </w:tcPr>
          <w:p w:rsidR="00816C00" w:rsidRPr="008A359D" w:rsidRDefault="00816C00" w:rsidP="00581DB9">
            <w:pPr>
              <w:pStyle w:val="ListParagraph"/>
              <w:ind w:left="0"/>
              <w:jc w:val="center"/>
              <w:rPr>
                <w:sz w:val="20"/>
                <w:szCs w:val="20"/>
              </w:rPr>
            </w:pPr>
            <w:r w:rsidRPr="008A359D">
              <w:rPr>
                <w:sz w:val="20"/>
                <w:szCs w:val="20"/>
              </w:rPr>
              <w:t xml:space="preserve">95% &lt; </w:t>
            </w:r>
            <w:r w:rsidRPr="008A359D">
              <w:rPr>
                <w:i/>
                <w:iCs/>
                <w:sz w:val="20"/>
                <w:szCs w:val="20"/>
              </w:rPr>
              <w:t>BOPO</w:t>
            </w:r>
            <w:r w:rsidRPr="008A359D">
              <w:rPr>
                <w:sz w:val="20"/>
                <w:szCs w:val="20"/>
              </w:rPr>
              <w:t xml:space="preserve"> </w:t>
            </w:r>
            <w:r w:rsidRPr="008A359D">
              <w:rPr>
                <w:sz w:val="20"/>
                <w:szCs w:val="20"/>
                <w:u w:val="single"/>
              </w:rPr>
              <w:t>&lt;</w:t>
            </w:r>
            <w:r w:rsidRPr="008A359D">
              <w:rPr>
                <w:sz w:val="20"/>
                <w:szCs w:val="20"/>
              </w:rPr>
              <w:t xml:space="preserve"> 96%</w:t>
            </w:r>
          </w:p>
        </w:tc>
        <w:tc>
          <w:tcPr>
            <w:tcW w:w="1701" w:type="dxa"/>
          </w:tcPr>
          <w:p w:rsidR="00816C00" w:rsidRPr="008A359D" w:rsidRDefault="00816C00" w:rsidP="00581DB9">
            <w:pPr>
              <w:pStyle w:val="ListParagraph"/>
              <w:ind w:left="0"/>
              <w:jc w:val="center"/>
              <w:rPr>
                <w:sz w:val="20"/>
                <w:szCs w:val="20"/>
              </w:rPr>
            </w:pPr>
            <w:r w:rsidRPr="008A359D">
              <w:rPr>
                <w:sz w:val="20"/>
                <w:szCs w:val="20"/>
              </w:rPr>
              <w:t xml:space="preserve">85% </w:t>
            </w:r>
            <w:r w:rsidRPr="008A359D">
              <w:rPr>
                <w:sz w:val="20"/>
                <w:szCs w:val="20"/>
                <w:u w:val="single"/>
              </w:rPr>
              <w:t>&lt;</w:t>
            </w:r>
            <w:r w:rsidRPr="008A359D">
              <w:rPr>
                <w:sz w:val="20"/>
                <w:szCs w:val="20"/>
              </w:rPr>
              <w:t xml:space="preserve"> </w:t>
            </w:r>
            <w:r w:rsidRPr="008A359D">
              <w:rPr>
                <w:i/>
                <w:iCs/>
                <w:sz w:val="20"/>
                <w:szCs w:val="20"/>
              </w:rPr>
              <w:t>FDR &lt;</w:t>
            </w:r>
            <w:r w:rsidRPr="008A359D">
              <w:rPr>
                <w:sz w:val="20"/>
                <w:szCs w:val="20"/>
              </w:rPr>
              <w:t>100%</w:t>
            </w:r>
          </w:p>
        </w:tc>
      </w:tr>
      <w:tr w:rsidR="00816C00" w:rsidRPr="008A359D" w:rsidTr="005C03F6">
        <w:tc>
          <w:tcPr>
            <w:tcW w:w="992" w:type="dxa"/>
          </w:tcPr>
          <w:p w:rsidR="00816C00" w:rsidRPr="008A359D" w:rsidRDefault="00816C00" w:rsidP="00581DB9">
            <w:pPr>
              <w:pStyle w:val="ListParagraph"/>
              <w:ind w:left="0"/>
              <w:jc w:val="center"/>
              <w:rPr>
                <w:sz w:val="20"/>
                <w:szCs w:val="20"/>
              </w:rPr>
            </w:pPr>
            <w:r w:rsidRPr="008A359D">
              <w:rPr>
                <w:sz w:val="20"/>
                <w:szCs w:val="20"/>
              </w:rPr>
              <w:t>Kurang Sehat</w:t>
            </w:r>
          </w:p>
        </w:tc>
        <w:tc>
          <w:tcPr>
            <w:tcW w:w="1418" w:type="dxa"/>
          </w:tcPr>
          <w:p w:rsidR="00816C00" w:rsidRPr="008A359D" w:rsidRDefault="00816C00" w:rsidP="00581DB9">
            <w:pPr>
              <w:pStyle w:val="ListParagraph"/>
              <w:ind w:left="0"/>
              <w:jc w:val="center"/>
              <w:rPr>
                <w:sz w:val="20"/>
                <w:szCs w:val="20"/>
              </w:rPr>
            </w:pPr>
            <w:r w:rsidRPr="008A359D">
              <w:rPr>
                <w:sz w:val="20"/>
                <w:szCs w:val="20"/>
              </w:rPr>
              <w:t xml:space="preserve">6% </w:t>
            </w:r>
            <w:r w:rsidRPr="008A359D">
              <w:rPr>
                <w:sz w:val="20"/>
                <w:szCs w:val="20"/>
                <w:u w:val="single"/>
              </w:rPr>
              <w:t>&lt;</w:t>
            </w:r>
            <w:r w:rsidRPr="008A359D">
              <w:rPr>
                <w:sz w:val="20"/>
                <w:szCs w:val="20"/>
              </w:rPr>
              <w:t xml:space="preserve"> </w:t>
            </w:r>
            <w:r w:rsidRPr="008A359D">
              <w:rPr>
                <w:i/>
                <w:iCs/>
                <w:sz w:val="20"/>
                <w:szCs w:val="20"/>
              </w:rPr>
              <w:t>CAR</w:t>
            </w:r>
            <w:r w:rsidRPr="008A359D">
              <w:rPr>
                <w:sz w:val="20"/>
                <w:szCs w:val="20"/>
              </w:rPr>
              <w:t xml:space="preserve"> &lt; 8%</w:t>
            </w:r>
          </w:p>
        </w:tc>
        <w:tc>
          <w:tcPr>
            <w:tcW w:w="1559" w:type="dxa"/>
          </w:tcPr>
          <w:p w:rsidR="00816C00" w:rsidRPr="008A359D" w:rsidRDefault="00816C00" w:rsidP="00581DB9">
            <w:pPr>
              <w:pStyle w:val="ListParagraph"/>
              <w:ind w:left="0"/>
              <w:jc w:val="center"/>
              <w:rPr>
                <w:sz w:val="20"/>
                <w:szCs w:val="20"/>
              </w:rPr>
            </w:pPr>
            <w:r w:rsidRPr="008A359D">
              <w:rPr>
                <w:sz w:val="20"/>
                <w:szCs w:val="20"/>
              </w:rPr>
              <w:t xml:space="preserve">0% &lt; </w:t>
            </w:r>
            <w:r w:rsidRPr="008A359D">
              <w:rPr>
                <w:i/>
                <w:iCs/>
                <w:sz w:val="20"/>
                <w:szCs w:val="20"/>
              </w:rPr>
              <w:t>ROA</w:t>
            </w:r>
            <w:r w:rsidRPr="008A359D">
              <w:rPr>
                <w:sz w:val="20"/>
                <w:szCs w:val="20"/>
              </w:rPr>
              <w:t xml:space="preserve"> </w:t>
            </w:r>
            <w:r w:rsidRPr="008A359D">
              <w:rPr>
                <w:sz w:val="20"/>
                <w:szCs w:val="20"/>
                <w:u w:val="single"/>
              </w:rPr>
              <w:t>&lt;</w:t>
            </w:r>
            <w:r w:rsidRPr="008A359D">
              <w:rPr>
                <w:sz w:val="20"/>
                <w:szCs w:val="20"/>
              </w:rPr>
              <w:t xml:space="preserve"> 0,5%</w:t>
            </w:r>
          </w:p>
        </w:tc>
        <w:tc>
          <w:tcPr>
            <w:tcW w:w="1739" w:type="dxa"/>
          </w:tcPr>
          <w:p w:rsidR="00816C00" w:rsidRPr="008A359D" w:rsidRDefault="00816C00" w:rsidP="00581DB9">
            <w:pPr>
              <w:pStyle w:val="ListParagraph"/>
              <w:ind w:left="0"/>
              <w:jc w:val="center"/>
              <w:rPr>
                <w:sz w:val="20"/>
                <w:szCs w:val="20"/>
              </w:rPr>
            </w:pPr>
            <w:r w:rsidRPr="008A359D">
              <w:rPr>
                <w:sz w:val="20"/>
                <w:szCs w:val="20"/>
              </w:rPr>
              <w:t xml:space="preserve">51% </w:t>
            </w:r>
            <w:r w:rsidRPr="008A359D">
              <w:rPr>
                <w:sz w:val="20"/>
                <w:szCs w:val="20"/>
                <w:u w:val="single"/>
              </w:rPr>
              <w:t>&lt;</w:t>
            </w:r>
            <w:r w:rsidRPr="008A359D">
              <w:rPr>
                <w:sz w:val="20"/>
                <w:szCs w:val="20"/>
              </w:rPr>
              <w:t xml:space="preserve"> </w:t>
            </w:r>
            <w:r w:rsidRPr="008A359D">
              <w:rPr>
                <w:i/>
                <w:iCs/>
                <w:sz w:val="20"/>
                <w:szCs w:val="20"/>
              </w:rPr>
              <w:t>NPM</w:t>
            </w:r>
            <w:r w:rsidRPr="008A359D">
              <w:rPr>
                <w:sz w:val="20"/>
                <w:szCs w:val="20"/>
              </w:rPr>
              <w:t xml:space="preserve"> &lt; 66%</w:t>
            </w:r>
          </w:p>
        </w:tc>
        <w:tc>
          <w:tcPr>
            <w:tcW w:w="1521" w:type="dxa"/>
          </w:tcPr>
          <w:p w:rsidR="00816C00" w:rsidRPr="008A359D" w:rsidRDefault="00816C00" w:rsidP="00581DB9">
            <w:pPr>
              <w:pStyle w:val="ListParagraph"/>
              <w:ind w:left="0"/>
              <w:jc w:val="center"/>
              <w:rPr>
                <w:sz w:val="20"/>
                <w:szCs w:val="20"/>
              </w:rPr>
            </w:pPr>
            <w:r w:rsidRPr="008A359D">
              <w:rPr>
                <w:sz w:val="20"/>
                <w:szCs w:val="20"/>
              </w:rPr>
              <w:t xml:space="preserve">96% &lt; </w:t>
            </w:r>
            <w:r w:rsidRPr="008A359D">
              <w:rPr>
                <w:i/>
                <w:iCs/>
                <w:sz w:val="20"/>
                <w:szCs w:val="20"/>
              </w:rPr>
              <w:t>BOPO</w:t>
            </w:r>
            <w:r w:rsidRPr="008A359D">
              <w:rPr>
                <w:sz w:val="20"/>
                <w:szCs w:val="20"/>
              </w:rPr>
              <w:t xml:space="preserve"> </w:t>
            </w:r>
            <w:r w:rsidRPr="008A359D">
              <w:rPr>
                <w:sz w:val="20"/>
                <w:szCs w:val="20"/>
                <w:u w:val="single"/>
              </w:rPr>
              <w:t>&lt;</w:t>
            </w:r>
            <w:r w:rsidRPr="008A359D">
              <w:rPr>
                <w:sz w:val="20"/>
                <w:szCs w:val="20"/>
              </w:rPr>
              <w:t xml:space="preserve"> 97%</w:t>
            </w:r>
          </w:p>
        </w:tc>
        <w:tc>
          <w:tcPr>
            <w:tcW w:w="1701" w:type="dxa"/>
          </w:tcPr>
          <w:p w:rsidR="00816C00" w:rsidRPr="008A359D" w:rsidRDefault="00816C00" w:rsidP="00581DB9">
            <w:pPr>
              <w:pStyle w:val="ListParagraph"/>
              <w:ind w:left="0"/>
              <w:jc w:val="center"/>
              <w:rPr>
                <w:sz w:val="20"/>
                <w:szCs w:val="20"/>
              </w:rPr>
            </w:pPr>
            <w:r w:rsidRPr="008A359D">
              <w:rPr>
                <w:sz w:val="20"/>
                <w:szCs w:val="20"/>
              </w:rPr>
              <w:t xml:space="preserve">100% </w:t>
            </w:r>
            <w:r w:rsidRPr="008A359D">
              <w:rPr>
                <w:sz w:val="20"/>
                <w:szCs w:val="20"/>
                <w:u w:val="single"/>
              </w:rPr>
              <w:t>&lt;</w:t>
            </w:r>
            <w:r w:rsidRPr="008A359D">
              <w:rPr>
                <w:sz w:val="20"/>
                <w:szCs w:val="20"/>
              </w:rPr>
              <w:t xml:space="preserve"> </w:t>
            </w:r>
            <w:r w:rsidRPr="008A359D">
              <w:rPr>
                <w:i/>
                <w:iCs/>
                <w:sz w:val="20"/>
                <w:szCs w:val="20"/>
              </w:rPr>
              <w:t>FDR &lt;</w:t>
            </w:r>
            <w:r w:rsidRPr="008A359D">
              <w:rPr>
                <w:sz w:val="20"/>
                <w:szCs w:val="20"/>
              </w:rPr>
              <w:t xml:space="preserve"> 120%</w:t>
            </w:r>
          </w:p>
        </w:tc>
      </w:tr>
      <w:tr w:rsidR="00816C00" w:rsidRPr="008A359D" w:rsidTr="005C03F6">
        <w:tc>
          <w:tcPr>
            <w:tcW w:w="992" w:type="dxa"/>
            <w:tcBorders>
              <w:bottom w:val="single" w:sz="4" w:space="0" w:color="auto"/>
            </w:tcBorders>
          </w:tcPr>
          <w:p w:rsidR="00816C00" w:rsidRPr="008A359D" w:rsidRDefault="00816C00" w:rsidP="00581DB9">
            <w:pPr>
              <w:pStyle w:val="ListParagraph"/>
              <w:ind w:left="0"/>
              <w:jc w:val="center"/>
              <w:rPr>
                <w:sz w:val="20"/>
                <w:szCs w:val="20"/>
              </w:rPr>
            </w:pPr>
            <w:r w:rsidRPr="008A359D">
              <w:rPr>
                <w:sz w:val="20"/>
                <w:szCs w:val="20"/>
              </w:rPr>
              <w:t>Tidak Sehat</w:t>
            </w:r>
          </w:p>
        </w:tc>
        <w:tc>
          <w:tcPr>
            <w:tcW w:w="1418" w:type="dxa"/>
            <w:tcBorders>
              <w:bottom w:val="single" w:sz="4" w:space="0" w:color="auto"/>
            </w:tcBorders>
          </w:tcPr>
          <w:p w:rsidR="00816C00" w:rsidRPr="008A359D" w:rsidRDefault="00816C00" w:rsidP="00581DB9">
            <w:pPr>
              <w:pStyle w:val="ListParagraph"/>
              <w:ind w:left="0"/>
              <w:jc w:val="center"/>
              <w:rPr>
                <w:sz w:val="20"/>
                <w:szCs w:val="20"/>
              </w:rPr>
            </w:pPr>
            <w:r w:rsidRPr="008A359D">
              <w:rPr>
                <w:i/>
                <w:iCs/>
                <w:sz w:val="20"/>
                <w:szCs w:val="20"/>
              </w:rPr>
              <w:t>CAR</w:t>
            </w:r>
            <w:r w:rsidRPr="008A359D">
              <w:rPr>
                <w:sz w:val="20"/>
                <w:szCs w:val="20"/>
              </w:rPr>
              <w:t xml:space="preserve"> </w:t>
            </w:r>
            <w:r w:rsidRPr="008A359D">
              <w:rPr>
                <w:sz w:val="20"/>
                <w:szCs w:val="20"/>
                <w:u w:val="single"/>
              </w:rPr>
              <w:t>&lt;</w:t>
            </w:r>
            <w:r w:rsidRPr="008A359D">
              <w:rPr>
                <w:sz w:val="20"/>
                <w:szCs w:val="20"/>
              </w:rPr>
              <w:t xml:space="preserve"> 6%</w:t>
            </w:r>
          </w:p>
        </w:tc>
        <w:tc>
          <w:tcPr>
            <w:tcW w:w="1559" w:type="dxa"/>
            <w:tcBorders>
              <w:bottom w:val="single" w:sz="4" w:space="0" w:color="auto"/>
            </w:tcBorders>
          </w:tcPr>
          <w:p w:rsidR="00816C00" w:rsidRPr="008A359D" w:rsidRDefault="00816C00" w:rsidP="00581DB9">
            <w:pPr>
              <w:pStyle w:val="ListParagraph"/>
              <w:ind w:left="0"/>
              <w:jc w:val="center"/>
              <w:rPr>
                <w:sz w:val="20"/>
                <w:szCs w:val="20"/>
              </w:rPr>
            </w:pPr>
            <w:r w:rsidRPr="008A359D">
              <w:rPr>
                <w:i/>
                <w:iCs/>
                <w:sz w:val="20"/>
                <w:szCs w:val="20"/>
              </w:rPr>
              <w:t>ROA</w:t>
            </w:r>
            <w:r w:rsidRPr="008A359D">
              <w:rPr>
                <w:sz w:val="20"/>
                <w:szCs w:val="20"/>
              </w:rPr>
              <w:t xml:space="preserve"> </w:t>
            </w:r>
            <w:r w:rsidRPr="008A359D">
              <w:rPr>
                <w:sz w:val="20"/>
                <w:szCs w:val="20"/>
                <w:u w:val="single"/>
              </w:rPr>
              <w:t>&lt;</w:t>
            </w:r>
            <w:r w:rsidRPr="008A359D">
              <w:rPr>
                <w:sz w:val="20"/>
                <w:szCs w:val="20"/>
              </w:rPr>
              <w:t xml:space="preserve"> 0%</w:t>
            </w:r>
          </w:p>
        </w:tc>
        <w:tc>
          <w:tcPr>
            <w:tcW w:w="1739" w:type="dxa"/>
            <w:tcBorders>
              <w:bottom w:val="single" w:sz="4" w:space="0" w:color="auto"/>
            </w:tcBorders>
          </w:tcPr>
          <w:p w:rsidR="00816C00" w:rsidRPr="008A359D" w:rsidRDefault="00816C00" w:rsidP="00581DB9">
            <w:pPr>
              <w:pStyle w:val="ListParagraph"/>
              <w:ind w:left="0"/>
              <w:jc w:val="center"/>
              <w:rPr>
                <w:sz w:val="20"/>
                <w:szCs w:val="20"/>
              </w:rPr>
            </w:pPr>
            <w:r w:rsidRPr="008A359D">
              <w:rPr>
                <w:i/>
                <w:iCs/>
                <w:sz w:val="20"/>
                <w:szCs w:val="20"/>
              </w:rPr>
              <w:t>NPM</w:t>
            </w:r>
            <w:r w:rsidRPr="008A359D">
              <w:rPr>
                <w:sz w:val="20"/>
                <w:szCs w:val="20"/>
              </w:rPr>
              <w:t xml:space="preserve"> &lt; 51%</w:t>
            </w:r>
          </w:p>
        </w:tc>
        <w:tc>
          <w:tcPr>
            <w:tcW w:w="1521" w:type="dxa"/>
            <w:tcBorders>
              <w:bottom w:val="single" w:sz="4" w:space="0" w:color="auto"/>
            </w:tcBorders>
          </w:tcPr>
          <w:p w:rsidR="00816C00" w:rsidRPr="008A359D" w:rsidRDefault="00816C00" w:rsidP="00581DB9">
            <w:pPr>
              <w:pStyle w:val="ListParagraph"/>
              <w:ind w:left="0"/>
              <w:jc w:val="center"/>
              <w:rPr>
                <w:sz w:val="20"/>
                <w:szCs w:val="20"/>
              </w:rPr>
            </w:pPr>
            <w:r w:rsidRPr="008A359D">
              <w:rPr>
                <w:i/>
                <w:iCs/>
                <w:sz w:val="20"/>
                <w:szCs w:val="20"/>
              </w:rPr>
              <w:t>BOPO</w:t>
            </w:r>
            <w:r w:rsidRPr="008A359D">
              <w:rPr>
                <w:sz w:val="20"/>
                <w:szCs w:val="20"/>
              </w:rPr>
              <w:t xml:space="preserve"> &gt; 97%</w:t>
            </w:r>
          </w:p>
        </w:tc>
        <w:tc>
          <w:tcPr>
            <w:tcW w:w="1701" w:type="dxa"/>
            <w:tcBorders>
              <w:bottom w:val="single" w:sz="4" w:space="0" w:color="auto"/>
            </w:tcBorders>
          </w:tcPr>
          <w:p w:rsidR="00816C00" w:rsidRPr="008A359D" w:rsidRDefault="00816C00" w:rsidP="00581DB9">
            <w:pPr>
              <w:pStyle w:val="ListParagraph"/>
              <w:ind w:left="0"/>
              <w:jc w:val="center"/>
              <w:rPr>
                <w:sz w:val="20"/>
                <w:szCs w:val="20"/>
              </w:rPr>
            </w:pPr>
            <w:r w:rsidRPr="008A359D">
              <w:rPr>
                <w:i/>
                <w:iCs/>
                <w:sz w:val="20"/>
                <w:szCs w:val="20"/>
              </w:rPr>
              <w:t xml:space="preserve">FDR </w:t>
            </w:r>
            <w:r w:rsidRPr="008A359D">
              <w:rPr>
                <w:sz w:val="20"/>
                <w:szCs w:val="20"/>
                <w:u w:val="single"/>
              </w:rPr>
              <w:t>&gt;</w:t>
            </w:r>
            <w:r w:rsidRPr="008A359D">
              <w:rPr>
                <w:sz w:val="20"/>
                <w:szCs w:val="20"/>
              </w:rPr>
              <w:t xml:space="preserve"> 120%</w:t>
            </w:r>
          </w:p>
        </w:tc>
      </w:tr>
    </w:tbl>
    <w:p w:rsidR="00816C00" w:rsidRPr="008A359D" w:rsidRDefault="00816C00" w:rsidP="00816C00">
      <w:pPr>
        <w:pBdr>
          <w:top w:val="nil"/>
          <w:left w:val="nil"/>
          <w:bottom w:val="nil"/>
          <w:right w:val="nil"/>
          <w:between w:val="nil"/>
        </w:pBdr>
        <w:ind w:firstLine="288"/>
        <w:jc w:val="both"/>
        <w:rPr>
          <w:sz w:val="20"/>
          <w:szCs w:val="20"/>
        </w:rPr>
      </w:pPr>
    </w:p>
    <w:p w:rsidR="00816C00" w:rsidRPr="008A359D" w:rsidRDefault="00816C00" w:rsidP="00816C00">
      <w:pPr>
        <w:pBdr>
          <w:top w:val="nil"/>
          <w:left w:val="nil"/>
          <w:bottom w:val="nil"/>
          <w:right w:val="nil"/>
          <w:between w:val="nil"/>
        </w:pBdr>
        <w:ind w:firstLine="288"/>
        <w:jc w:val="both"/>
        <w:rPr>
          <w:sz w:val="20"/>
          <w:szCs w:val="20"/>
        </w:rPr>
      </w:pPr>
      <w:r w:rsidRPr="008A359D">
        <w:rPr>
          <w:sz w:val="20"/>
          <w:szCs w:val="20"/>
        </w:rPr>
        <w:t xml:space="preserve">Beberapa penelitian dengan metode CAMEL telah dilakukan, diantaranya yaitu penelitian yang telah dilakukan oleh M. Iqbal Surya, dkk, dengan judul “Analisis Tingkat Kesehatan Laporan Keuangan pada PT Bank Syariah Mandiri Tbk dengan Metode CAMEL Periode 2016-2020”. Hasil penelitian tersebut menyatakan bahwa pada rasio CAR, dan ROA memperoleh predikat sangat sehat. NPF, ROE, dan FDR memperoleh predikat sehat. Sedangkan pada rasio BOPO memperoleh predikat cukup sehat </w:t>
      </w:r>
      <w:r w:rsidRPr="008A359D">
        <w:rPr>
          <w:sz w:val="20"/>
          <w:szCs w:val="20"/>
        </w:rPr>
        <w:fldChar w:fldCharType="begin" w:fldLock="1"/>
      </w:r>
      <w:r w:rsidRPr="008A359D">
        <w:rPr>
          <w:sz w:val="20"/>
          <w:szCs w:val="20"/>
        </w:rPr>
        <w:instrText>ADDIN CSL_CITATION {"citationItems":[{"id":"ITEM-1","itemData":{"DOI":"10.15642/oje.2021.6.1.29-37","ISSN":"2548-6004","abstract":"The purpose of this research is to see and find out the level of the soundness of the financial statements at PT Bank Syariah Mandiri Tbk using the CAMEL method (Capital, Asset Quality, The method of data collection used in this research is the documentation of secondary data sources that have been collected and have been documented on the bank's official website in the form of existing financial reports. The results obtained in this study are CAR, ROA, and NI very healthy, NPF, ROE, FDR healthy, and PDN, BOPO quite healthy.","author":[{"dropping-particle":"","family":"Pratikto","given":"Muhammad Iqbal Surya","non-dropping-particle":"","parse-names":false,"suffix":""},{"dropping-particle":"","family":"Rahmawati","given":"Nisha Nor","non-dropping-particle":"","parse-names":false,"suffix":""}],"container-title":"OECONOMICUS Journal of Economics","id":"ITEM-1","issue":"1","issued":{"date-parts":[["2021"]]},"page":"29-37","title":"Analisis Tingkat Kesehatan Laporan Keuangan pada PT Bank Syariah Mandiri Tbk. dengan Metode CAMEL Periode 2016 – 2020","type":"article-journal","volume":"6"},"uris":["http://www.mendeley.com/documents/?uuid=a5a3bdec-1bf0-4cf4-b4bf-f4184978eef3"]}],"mendeley":{"formattedCitation":"[20]","plainTextFormattedCitation":"[20]","previouslyFormattedCitation":"[20]"},"properties":{"noteIndex":0},"schema":"https://github.com/citation-style-language/schema/raw/master/csl-citation.json"}</w:instrText>
      </w:r>
      <w:r w:rsidRPr="008A359D">
        <w:rPr>
          <w:sz w:val="20"/>
          <w:szCs w:val="20"/>
        </w:rPr>
        <w:fldChar w:fldCharType="separate"/>
      </w:r>
      <w:r w:rsidRPr="008A359D">
        <w:rPr>
          <w:noProof/>
          <w:sz w:val="20"/>
          <w:szCs w:val="20"/>
        </w:rPr>
        <w:t>[20]</w:t>
      </w:r>
      <w:r w:rsidRPr="008A359D">
        <w:rPr>
          <w:sz w:val="20"/>
          <w:szCs w:val="20"/>
        </w:rPr>
        <w:fldChar w:fldCharType="end"/>
      </w:r>
      <w:r w:rsidRPr="008A359D">
        <w:rPr>
          <w:sz w:val="20"/>
          <w:szCs w:val="20"/>
        </w:rPr>
        <w:t>.</w:t>
      </w:r>
    </w:p>
    <w:p w:rsidR="00816C00" w:rsidRPr="008A359D" w:rsidRDefault="00816C00" w:rsidP="00816C00">
      <w:pPr>
        <w:pBdr>
          <w:top w:val="nil"/>
          <w:left w:val="nil"/>
          <w:bottom w:val="nil"/>
          <w:right w:val="nil"/>
          <w:between w:val="nil"/>
        </w:pBdr>
        <w:ind w:firstLine="288"/>
        <w:jc w:val="both"/>
        <w:rPr>
          <w:sz w:val="20"/>
          <w:szCs w:val="20"/>
        </w:rPr>
      </w:pPr>
      <w:r w:rsidRPr="008A359D">
        <w:rPr>
          <w:sz w:val="20"/>
          <w:szCs w:val="20"/>
        </w:rPr>
        <w:t xml:space="preserve">Penelitian lain juga dilakukan oleh Rada Alamia, dkk., dengan judul “Analisis Perbedaan Kinerja Keuangan Bank Sebelum dan Selama Pandemi Covid-19 dengan Pendekatan CAMEL”. Hasil penelitian tersebut menyatakan bahwa terdapat perbedaan yang signifikan antara rasio CAR, NPL, ROA, BOPO, dan LDR bank umum konvensonal sebelum dan selama pandemi covid-19 </w:t>
      </w:r>
      <w:r w:rsidRPr="008A359D">
        <w:rPr>
          <w:sz w:val="20"/>
          <w:szCs w:val="20"/>
        </w:rPr>
        <w:fldChar w:fldCharType="begin" w:fldLock="1"/>
      </w:r>
      <w:r w:rsidRPr="008A359D">
        <w:rPr>
          <w:sz w:val="20"/>
          <w:szCs w:val="20"/>
        </w:rPr>
        <w:instrText>ADDIN CSL_CITATION {"citationItems":[{"id":"ITEM-1","itemData":{"abstract":"Setelah pemerintah indonesia meresmikan Covid-19 sebagai bencana nasional, Pemerintah pusat maupun pemerintah daerah merespon dengan menetapkan kebijakan-kebijakan baru sebagai upaya pencegahan penyebaran Covid-19 dan berimbas paling besar terhadap sektor ekonomi. Perbankan sebagai lembaga financial intermediary memiliki peran besar dalam meningkatkan serta menggerakkan perekonomian. Namun dengan adanya pandemi, sektor pebankan mengalami banyak gangguan serta peningkatan berbagai risiko yang berkaitan dengan kinerja bank. Dilakukannya penelitian ini dengan tujuan untuk mengetahui adanya perbedaan yang signifikan antara kinerja keuangan bank umum konvensional yang terdaftar di OJK sebelum dan selama pandemi covid-19 terjadi. Pendekatan yang digunakan adalah pendekatan CAMEL yang menilai kinerja keuangan berdasarkan 5 aspek yaitu capital, asset, menegement, earnings, dan Liquidity yang kemudian masing- masing diproyeksikan oleh rasio CAR, NPL, ROA, BOPO, dan LDR. Dalam penelitian ini, metode yang digunakan adalah kuantitatif komparatif dengan paired t-test dan uji sign wilcoxon. Penelitian menunjukkan hasil bahwa terdapat perbedaan yang signifikan antara CAR, NPL, ROA, BOPO, dan LDR bank umum konvensional sebelum dan selama pandemi Covid-19.","author":[{"dropping-particle":"","family":"Alamia","given":"Rada","non-dropping-particle":"","parse-names":false,"suffix":""},{"dropping-particle":"","family":"Asmara","given":"Kiky","non-dropping-particle":"","parse-names":false,"suffix":""}],"container-title":"KINERJA: Jurnal Ekonomi dan Manajemen","id":"ITEM-1","issue":"4","issued":{"date-parts":[["2022"]]},"page":"869-876","title":"Analisis perbedaan kinerja keuangan bank sebelum dan selama pandemi covid- 19 dengan pendekatan CAMEL Analysis of differences in bank financial performance before and during the covid- 19 pandemic using the CAMEL approach","type":"article-journal","volume":"19"},"uris":["http://www.mendeley.com/documents/?uuid=e18840b6-25ab-4290-9dbe-6698409ffb1d"]}],"mendeley":{"formattedCitation":"[25]","plainTextFormattedCitation":"[25]","previouslyFormattedCitation":"[25]"},"properties":{"noteIndex":0},"schema":"https://github.com/citation-style-language/schema/raw/master/csl-citation.json"}</w:instrText>
      </w:r>
      <w:r w:rsidRPr="008A359D">
        <w:rPr>
          <w:sz w:val="20"/>
          <w:szCs w:val="20"/>
        </w:rPr>
        <w:fldChar w:fldCharType="separate"/>
      </w:r>
      <w:r w:rsidRPr="008A359D">
        <w:rPr>
          <w:noProof/>
          <w:sz w:val="20"/>
          <w:szCs w:val="20"/>
        </w:rPr>
        <w:t>[25]</w:t>
      </w:r>
      <w:r w:rsidRPr="008A359D">
        <w:rPr>
          <w:sz w:val="20"/>
          <w:szCs w:val="20"/>
        </w:rPr>
        <w:fldChar w:fldCharType="end"/>
      </w:r>
      <w:r w:rsidRPr="008A359D">
        <w:rPr>
          <w:sz w:val="20"/>
          <w:szCs w:val="20"/>
        </w:rPr>
        <w:t>.</w:t>
      </w:r>
    </w:p>
    <w:p w:rsidR="00816C00" w:rsidRPr="008A359D" w:rsidRDefault="00816C00" w:rsidP="00816C00">
      <w:pPr>
        <w:pBdr>
          <w:top w:val="nil"/>
          <w:left w:val="nil"/>
          <w:bottom w:val="nil"/>
          <w:right w:val="nil"/>
          <w:between w:val="nil"/>
        </w:pBdr>
        <w:ind w:firstLine="288"/>
        <w:jc w:val="both"/>
        <w:rPr>
          <w:sz w:val="20"/>
          <w:szCs w:val="20"/>
        </w:rPr>
      </w:pPr>
      <w:r w:rsidRPr="008A359D">
        <w:rPr>
          <w:sz w:val="20"/>
          <w:szCs w:val="20"/>
        </w:rPr>
        <w:t>Dari apa yang dipaparkan di atas, peneliti memiliki keinginan untuk mengkaji suatu penelitian dengan judul yakni “Analisis Tingkat Kesehatan Bank Syariah Indonesia Sebelum dan Ketika Serangan Cyber dengan Menggunakan Metode CAMEL”. Mengukur tingkat kesehatan bank sangatlah penting menurut Bank Of Statement, karena menjaga kesehatan bank bertujuan untuk mempertahankan kepercayaan nasabah terhadap bank, terutama dalam situasi seperti serangan cyber ini. Adapun tujuan penelitian ini dilakukan ialah untuk mengkaji bagaimana tingkat kesehatan BSI sebelum dan juga ketika terjadinya serangan cyber. Perbedaan penelitian ini dengan sebelumnya ialah pada penelitian ini penulis fokus untuk menganalisis tingkat kesehatan bank pada BSI sebelum dan ketika serangan cyber, sedangkan penelitian  terdahulu tidak mengkaji tingkat kesehatan bank sebelum dan ketika serangan cyber.</w:t>
      </w:r>
    </w:p>
    <w:p w:rsidR="00816C00" w:rsidRPr="008A359D" w:rsidRDefault="00816C00" w:rsidP="00816C00">
      <w:pPr>
        <w:pBdr>
          <w:top w:val="nil"/>
          <w:left w:val="nil"/>
          <w:bottom w:val="nil"/>
          <w:right w:val="nil"/>
          <w:between w:val="nil"/>
        </w:pBdr>
        <w:jc w:val="both"/>
        <w:rPr>
          <w:sz w:val="20"/>
          <w:szCs w:val="20"/>
        </w:rPr>
      </w:pPr>
    </w:p>
    <w:p w:rsidR="00816C00" w:rsidRPr="008A359D" w:rsidRDefault="00816C00" w:rsidP="00816C00">
      <w:pPr>
        <w:pBdr>
          <w:top w:val="nil"/>
          <w:left w:val="nil"/>
          <w:bottom w:val="nil"/>
          <w:right w:val="nil"/>
          <w:between w:val="nil"/>
        </w:pBdr>
        <w:jc w:val="both"/>
        <w:rPr>
          <w:b/>
          <w:bCs/>
          <w:sz w:val="20"/>
          <w:szCs w:val="20"/>
        </w:rPr>
      </w:pPr>
      <w:r w:rsidRPr="008A359D">
        <w:rPr>
          <w:b/>
          <w:bCs/>
          <w:sz w:val="20"/>
          <w:szCs w:val="20"/>
        </w:rPr>
        <w:t>Kerangka Konseptual</w:t>
      </w:r>
    </w:p>
    <w:p w:rsidR="00816C00" w:rsidRPr="008A359D" w:rsidRDefault="00816C00" w:rsidP="00816C00">
      <w:pPr>
        <w:pBdr>
          <w:top w:val="nil"/>
          <w:left w:val="nil"/>
          <w:bottom w:val="nil"/>
          <w:right w:val="nil"/>
          <w:between w:val="nil"/>
        </w:pBdr>
        <w:jc w:val="both"/>
        <w:rPr>
          <w:sz w:val="20"/>
          <w:szCs w:val="20"/>
        </w:rPr>
      </w:pPr>
      <w:r w:rsidRPr="008A359D">
        <w:rPr>
          <w:noProof/>
          <w:sz w:val="20"/>
          <w:szCs w:val="20"/>
          <w:lang w:val="en-US"/>
        </w:rPr>
        <mc:AlternateContent>
          <mc:Choice Requires="wpg">
            <w:drawing>
              <wp:anchor distT="0" distB="0" distL="114300" distR="114300" simplePos="0" relativeHeight="251660288" behindDoc="0" locked="0" layoutInCell="1" allowOverlap="1" wp14:anchorId="1F3E46CA" wp14:editId="332E6C54">
                <wp:simplePos x="0" y="0"/>
                <wp:positionH relativeFrom="column">
                  <wp:posOffset>999766</wp:posOffset>
                </wp:positionH>
                <wp:positionV relativeFrom="paragraph">
                  <wp:posOffset>17255</wp:posOffset>
                </wp:positionV>
                <wp:extent cx="3983355" cy="2273914"/>
                <wp:effectExtent l="0" t="0" r="17145" b="12700"/>
                <wp:wrapNone/>
                <wp:docPr id="809023190" name="Group 12"/>
                <wp:cNvGraphicFramePr/>
                <a:graphic xmlns:a="http://schemas.openxmlformats.org/drawingml/2006/main">
                  <a:graphicData uri="http://schemas.microsoft.com/office/word/2010/wordprocessingGroup">
                    <wpg:wgp>
                      <wpg:cNvGrpSpPr/>
                      <wpg:grpSpPr>
                        <a:xfrm>
                          <a:off x="0" y="0"/>
                          <a:ext cx="3983355" cy="2273914"/>
                          <a:chOff x="0" y="0"/>
                          <a:chExt cx="3983355" cy="2273914"/>
                        </a:xfrm>
                      </wpg:grpSpPr>
                      <wps:wsp>
                        <wps:cNvPr id="1412099904" name="Rectangle 2"/>
                        <wps:cNvSpPr/>
                        <wps:spPr>
                          <a:xfrm>
                            <a:off x="1455725" y="0"/>
                            <a:ext cx="1121134" cy="238539"/>
                          </a:xfrm>
                          <a:prstGeom prst="rect">
                            <a:avLst/>
                          </a:prstGeom>
                          <a:ln w="3175"/>
                        </wps:spPr>
                        <wps:style>
                          <a:lnRef idx="2">
                            <a:schemeClr val="dk1"/>
                          </a:lnRef>
                          <a:fillRef idx="1">
                            <a:schemeClr val="lt1"/>
                          </a:fillRef>
                          <a:effectRef idx="0">
                            <a:schemeClr val="dk1"/>
                          </a:effectRef>
                          <a:fontRef idx="minor">
                            <a:schemeClr val="dk1"/>
                          </a:fontRef>
                        </wps:style>
                        <wps:txbx>
                          <w:txbxContent>
                            <w:p w:rsidR="00816C00" w:rsidRPr="009611F3" w:rsidRDefault="00816C00" w:rsidP="00816C00">
                              <w:pPr>
                                <w:jc w:val="center"/>
                                <w:rPr>
                                  <w:sz w:val="20"/>
                                  <w:szCs w:val="20"/>
                                </w:rPr>
                              </w:pPr>
                              <w:r w:rsidRPr="009611F3">
                                <w:rPr>
                                  <w:sz w:val="20"/>
                                  <w:szCs w:val="20"/>
                                </w:rPr>
                                <w:t xml:space="preserve">Serangan </w:t>
                              </w:r>
                              <w:r w:rsidRPr="00B923E9">
                                <w:rPr>
                                  <w:i/>
                                  <w:iCs/>
                                  <w:sz w:val="20"/>
                                  <w:szCs w:val="20"/>
                                </w:rPr>
                                <w:t>Cyber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5002489" name="Rectangle 2"/>
                        <wps:cNvSpPr/>
                        <wps:spPr>
                          <a:xfrm>
                            <a:off x="0" y="263347"/>
                            <a:ext cx="874643" cy="238539"/>
                          </a:xfrm>
                          <a:prstGeom prst="rect">
                            <a:avLst/>
                          </a:prstGeom>
                          <a:ln w="3175"/>
                        </wps:spPr>
                        <wps:style>
                          <a:lnRef idx="2">
                            <a:schemeClr val="dk1"/>
                          </a:lnRef>
                          <a:fillRef idx="1">
                            <a:schemeClr val="lt1"/>
                          </a:fillRef>
                          <a:effectRef idx="0">
                            <a:schemeClr val="dk1"/>
                          </a:effectRef>
                          <a:fontRef idx="minor">
                            <a:schemeClr val="dk1"/>
                          </a:fontRef>
                        </wps:style>
                        <wps:txbx>
                          <w:txbxContent>
                            <w:p w:rsidR="00816C00" w:rsidRPr="009611F3" w:rsidRDefault="00816C00" w:rsidP="00816C00">
                              <w:pPr>
                                <w:jc w:val="center"/>
                                <w:rPr>
                                  <w:sz w:val="20"/>
                                  <w:szCs w:val="20"/>
                                </w:rPr>
                              </w:pPr>
                              <w:r>
                                <w:rPr>
                                  <w:sz w:val="20"/>
                                  <w:szCs w:val="20"/>
                                </w:rPr>
                                <w:t>Sebelum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0886795" name="Rectangle 2"/>
                        <wps:cNvSpPr/>
                        <wps:spPr>
                          <a:xfrm>
                            <a:off x="3108960" y="248717"/>
                            <a:ext cx="874395" cy="238539"/>
                          </a:xfrm>
                          <a:prstGeom prst="rect">
                            <a:avLst/>
                          </a:prstGeom>
                          <a:ln w="3175"/>
                        </wps:spPr>
                        <wps:style>
                          <a:lnRef idx="2">
                            <a:schemeClr val="dk1"/>
                          </a:lnRef>
                          <a:fillRef idx="1">
                            <a:schemeClr val="lt1"/>
                          </a:fillRef>
                          <a:effectRef idx="0">
                            <a:schemeClr val="dk1"/>
                          </a:effectRef>
                          <a:fontRef idx="minor">
                            <a:schemeClr val="dk1"/>
                          </a:fontRef>
                        </wps:style>
                        <wps:txbx>
                          <w:txbxContent>
                            <w:p w:rsidR="00816C00" w:rsidRPr="009611F3" w:rsidRDefault="00816C00" w:rsidP="00816C00">
                              <w:pPr>
                                <w:jc w:val="center"/>
                                <w:rPr>
                                  <w:sz w:val="20"/>
                                  <w:szCs w:val="20"/>
                                </w:rPr>
                              </w:pPr>
                              <w:r>
                                <w:rPr>
                                  <w:sz w:val="20"/>
                                  <w:szCs w:val="20"/>
                                </w:rPr>
                                <w:t>Ketika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3200614" name="Rectangle 2"/>
                        <wps:cNvSpPr/>
                        <wps:spPr>
                          <a:xfrm>
                            <a:off x="1433780" y="643738"/>
                            <a:ext cx="1168106" cy="238539"/>
                          </a:xfrm>
                          <a:prstGeom prst="rect">
                            <a:avLst/>
                          </a:prstGeom>
                          <a:ln w="3175"/>
                        </wps:spPr>
                        <wps:style>
                          <a:lnRef idx="2">
                            <a:schemeClr val="dk1"/>
                          </a:lnRef>
                          <a:fillRef idx="1">
                            <a:schemeClr val="lt1"/>
                          </a:fillRef>
                          <a:effectRef idx="0">
                            <a:schemeClr val="dk1"/>
                          </a:effectRef>
                          <a:fontRef idx="minor">
                            <a:schemeClr val="dk1"/>
                          </a:fontRef>
                        </wps:style>
                        <wps:txbx>
                          <w:txbxContent>
                            <w:p w:rsidR="00816C00" w:rsidRPr="009611F3" w:rsidRDefault="00816C00" w:rsidP="00816C00">
                              <w:pPr>
                                <w:jc w:val="center"/>
                                <w:rPr>
                                  <w:sz w:val="20"/>
                                  <w:szCs w:val="20"/>
                                </w:rPr>
                              </w:pPr>
                              <w:r>
                                <w:rPr>
                                  <w:sz w:val="20"/>
                                  <w:szCs w:val="20"/>
                                </w:rPr>
                                <w:t>Laporan Keuangan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7206111" name="Rectangle 2"/>
                        <wps:cNvSpPr/>
                        <wps:spPr>
                          <a:xfrm>
                            <a:off x="749071" y="1081115"/>
                            <a:ext cx="2539898" cy="252386"/>
                          </a:xfrm>
                          <a:prstGeom prst="rect">
                            <a:avLst/>
                          </a:prstGeom>
                          <a:ln w="3175"/>
                        </wps:spPr>
                        <wps:style>
                          <a:lnRef idx="2">
                            <a:schemeClr val="dk1"/>
                          </a:lnRef>
                          <a:fillRef idx="1">
                            <a:schemeClr val="lt1"/>
                          </a:fillRef>
                          <a:effectRef idx="0">
                            <a:schemeClr val="dk1"/>
                          </a:effectRef>
                          <a:fontRef idx="minor">
                            <a:schemeClr val="dk1"/>
                          </a:fontRef>
                        </wps:style>
                        <wps:txbx>
                          <w:txbxContent>
                            <w:p w:rsidR="00816C00" w:rsidRPr="00BE102B" w:rsidRDefault="00816C00" w:rsidP="00816C00">
                              <w:pPr>
                                <w:jc w:val="center"/>
                                <w:rPr>
                                  <w:sz w:val="20"/>
                                  <w:szCs w:val="20"/>
                                </w:rPr>
                              </w:pPr>
                              <w:r>
                                <w:rPr>
                                  <w:sz w:val="20"/>
                                  <w:szCs w:val="20"/>
                                </w:rPr>
                                <w:t xml:space="preserve">Teknik Analisis : </w:t>
                              </w:r>
                              <w:r w:rsidRPr="00B923E9">
                                <w:rPr>
                                  <w:i/>
                                  <w:iCs/>
                                  <w:sz w:val="20"/>
                                  <w:szCs w:val="20"/>
                                </w:rPr>
                                <w:t>Paired Sample T-Test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794625" name="Straight Arrow Connector 5"/>
                        <wps:cNvCnPr/>
                        <wps:spPr>
                          <a:xfrm flipH="1">
                            <a:off x="403860" y="131674"/>
                            <a:ext cx="1025718" cy="1192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68076473" name="Straight Arrow Connector 6"/>
                        <wps:cNvCnPr/>
                        <wps:spPr>
                          <a:xfrm>
                            <a:off x="2574951" y="124359"/>
                            <a:ext cx="954515" cy="1188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19081426" name="Straight Arrow Connector 8"/>
                        <wps:cNvCnPr/>
                        <wps:spPr>
                          <a:xfrm flipH="1">
                            <a:off x="2576475" y="490119"/>
                            <a:ext cx="954405" cy="2798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2604938" name="Straight Arrow Connector 9"/>
                        <wps:cNvCnPr/>
                        <wps:spPr>
                          <a:xfrm>
                            <a:off x="431597" y="526695"/>
                            <a:ext cx="994913" cy="2431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67400537" name="Straight Arrow Connector 10"/>
                        <wps:cNvCnPr>
                          <a:stCxn id="1033200614" idx="2"/>
                          <a:endCxn id="1467206111" idx="0"/>
                        </wps:cNvCnPr>
                        <wps:spPr>
                          <a:xfrm>
                            <a:off x="2017833" y="882277"/>
                            <a:ext cx="1187" cy="1988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18561630" name="Rectangle 2"/>
                        <wps:cNvSpPr/>
                        <wps:spPr>
                          <a:xfrm>
                            <a:off x="922346" y="1541926"/>
                            <a:ext cx="2196103" cy="248058"/>
                          </a:xfrm>
                          <a:prstGeom prst="rect">
                            <a:avLst/>
                          </a:prstGeom>
                          <a:ln w="3175"/>
                        </wps:spPr>
                        <wps:style>
                          <a:lnRef idx="2">
                            <a:schemeClr val="dk1"/>
                          </a:lnRef>
                          <a:fillRef idx="1">
                            <a:schemeClr val="lt1"/>
                          </a:fillRef>
                          <a:effectRef idx="0">
                            <a:schemeClr val="dk1"/>
                          </a:effectRef>
                          <a:fontRef idx="minor">
                            <a:schemeClr val="dk1"/>
                          </a:fontRef>
                        </wps:style>
                        <wps:txbx>
                          <w:txbxContent>
                            <w:p w:rsidR="00816C00" w:rsidRPr="009611F3" w:rsidRDefault="00816C00" w:rsidP="00816C00">
                              <w:pPr>
                                <w:jc w:val="center"/>
                                <w:rPr>
                                  <w:sz w:val="20"/>
                                  <w:szCs w:val="20"/>
                                </w:rPr>
                              </w:pPr>
                              <w:r>
                                <w:rPr>
                                  <w:sz w:val="20"/>
                                  <w:szCs w:val="20"/>
                                </w:rPr>
                                <w:t xml:space="preserve">Analisis Tingkat Kesehatan : </w:t>
                              </w:r>
                              <w:r w:rsidRPr="00EF4102">
                                <w:rPr>
                                  <w:i/>
                                  <w:iCs/>
                                  <w:sz w:val="20"/>
                                  <w:szCs w:val="20"/>
                                </w:rPr>
                                <w:t>CAMEL</w:t>
                              </w:r>
                            </w:p>
                            <w:p w:rsidR="00816C00" w:rsidRPr="009611F3" w:rsidRDefault="00816C00" w:rsidP="00816C00">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8693463" name="Rectangle 2"/>
                        <wps:cNvSpPr/>
                        <wps:spPr>
                          <a:xfrm>
                            <a:off x="1464848" y="2035375"/>
                            <a:ext cx="1121134" cy="238539"/>
                          </a:xfrm>
                          <a:prstGeom prst="rect">
                            <a:avLst/>
                          </a:prstGeom>
                          <a:ln w="3175"/>
                        </wps:spPr>
                        <wps:style>
                          <a:lnRef idx="2">
                            <a:schemeClr val="dk1"/>
                          </a:lnRef>
                          <a:fillRef idx="1">
                            <a:schemeClr val="lt1"/>
                          </a:fillRef>
                          <a:effectRef idx="0">
                            <a:schemeClr val="dk1"/>
                          </a:effectRef>
                          <a:fontRef idx="minor">
                            <a:schemeClr val="dk1"/>
                          </a:fontRef>
                        </wps:style>
                        <wps:txbx>
                          <w:txbxContent>
                            <w:p w:rsidR="00816C00" w:rsidRPr="009611F3" w:rsidRDefault="00816C00" w:rsidP="00816C00">
                              <w:pPr>
                                <w:jc w:val="center"/>
                                <w:rPr>
                                  <w:sz w:val="20"/>
                                  <w:szCs w:val="20"/>
                                </w:rPr>
                              </w:pPr>
                              <w:r>
                                <w:rPr>
                                  <w:sz w:val="20"/>
                                  <w:szCs w:val="20"/>
                                </w:rPr>
                                <w:t>Hasil Analisis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0002245" name="Straight Arrow Connector 10"/>
                        <wps:cNvCnPr/>
                        <wps:spPr>
                          <a:xfrm>
                            <a:off x="2019020" y="1786022"/>
                            <a:ext cx="5286" cy="2431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1F3E46CA" id="Group 12" o:spid="_x0000_s1026" style="position:absolute;left:0;text-align:left;margin-left:78.7pt;margin-top:1.35pt;width:313.65pt;height:179.05pt;z-index:251660288;mso-height-relative:margin" coordsize="39833,22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">
                <v:rect id="Rectangle 2" o:spid="_x0000_s1027" style="position:absolute;left:14557;width:11211;height:2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" fillcolor="white [3201]" strokecolor="black [3200]" strokeweight=".25pt">
                  <v:textbox>
                    <w:txbxContent>
                      <w:p w:rsidR="00816C00" w:rsidRPr="009611F3" w:rsidRDefault="00816C00" w:rsidP="00816C00">
                        <w:pPr>
                          <w:jc w:val="center"/>
                          <w:rPr>
                            <w:sz w:val="20"/>
                            <w:szCs w:val="20"/>
                          </w:rPr>
                        </w:pPr>
                        <w:r w:rsidRPr="009611F3">
                          <w:rPr>
                            <w:sz w:val="20"/>
                            <w:szCs w:val="20"/>
                          </w:rPr>
                          <w:t xml:space="preserve">Serangan </w:t>
                        </w:r>
                        <w:r w:rsidRPr="00B923E9">
                          <w:rPr>
                            <w:i/>
                            <w:iCs/>
                            <w:sz w:val="20"/>
                            <w:szCs w:val="20"/>
                          </w:rPr>
                          <w:t>Cyber</w:t>
                        </w:r>
                      </w:p>
                    </w:txbxContent>
                  </v:textbox>
                </v:rect>
                <v:rect id="Rectangle 2" o:spid="_x0000_s1028" style="position:absolute;top:2633;width:8746;height:2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" fillcolor="white [3201]" strokecolor="black [3200]" strokeweight=".25pt">
                  <v:textbox>
                    <w:txbxContent>
                      <w:p w:rsidR="00816C00" w:rsidRPr="009611F3" w:rsidRDefault="00816C00" w:rsidP="00816C00">
                        <w:pPr>
                          <w:jc w:val="center"/>
                          <w:rPr>
                            <w:sz w:val="20"/>
                            <w:szCs w:val="20"/>
                          </w:rPr>
                        </w:pPr>
                        <w:r>
                          <w:rPr>
                            <w:sz w:val="20"/>
                            <w:szCs w:val="20"/>
                          </w:rPr>
                          <w:t>Sebelum</w:t>
                        </w:r>
                      </w:p>
                    </w:txbxContent>
                  </v:textbox>
                </v:rect>
                <v:rect id="Rectangle 2" o:spid="_x0000_s1029" style="position:absolute;left:31089;top:2487;width:8744;height:2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" fillcolor="white [3201]" strokecolor="black [3200]" strokeweight=".25pt">
                  <v:textbox>
                    <w:txbxContent>
                      <w:p w:rsidR="00816C00" w:rsidRPr="009611F3" w:rsidRDefault="00816C00" w:rsidP="00816C00">
                        <w:pPr>
                          <w:jc w:val="center"/>
                          <w:rPr>
                            <w:sz w:val="20"/>
                            <w:szCs w:val="20"/>
                          </w:rPr>
                        </w:pPr>
                        <w:r>
                          <w:rPr>
                            <w:sz w:val="20"/>
                            <w:szCs w:val="20"/>
                          </w:rPr>
                          <w:t>Ketika</w:t>
                        </w:r>
                      </w:p>
                    </w:txbxContent>
                  </v:textbox>
                </v:rect>
                <v:rect id="Rectangle 2" o:spid="_x0000_s1030" style="position:absolute;left:14337;top:6437;width:11681;height:2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" fillcolor="white [3201]" strokecolor="black [3200]" strokeweight=".25pt">
                  <v:textbox>
                    <w:txbxContent>
                      <w:p w:rsidR="00816C00" w:rsidRPr="009611F3" w:rsidRDefault="00816C00" w:rsidP="00816C00">
                        <w:pPr>
                          <w:jc w:val="center"/>
                          <w:rPr>
                            <w:sz w:val="20"/>
                            <w:szCs w:val="20"/>
                          </w:rPr>
                        </w:pPr>
                        <w:r>
                          <w:rPr>
                            <w:sz w:val="20"/>
                            <w:szCs w:val="20"/>
                          </w:rPr>
                          <w:t>Laporan Keuangan</w:t>
                        </w:r>
                      </w:p>
                    </w:txbxContent>
                  </v:textbox>
                </v:rect>
                <v:rect id="Rectangle 2" o:spid="_x0000_s1031" style="position:absolute;left:7490;top:10811;width:25399;height:2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" fillcolor="white [3201]" strokecolor="black [3200]" strokeweight=".25pt">
                  <v:textbox>
                    <w:txbxContent>
                      <w:p w:rsidR="00816C00" w:rsidRPr="00BE102B" w:rsidRDefault="00816C00" w:rsidP="00816C00">
                        <w:pPr>
                          <w:jc w:val="center"/>
                          <w:rPr>
                            <w:sz w:val="20"/>
                            <w:szCs w:val="20"/>
                          </w:rPr>
                        </w:pPr>
                        <w:r>
                          <w:rPr>
                            <w:sz w:val="20"/>
                            <w:szCs w:val="20"/>
                          </w:rPr>
                          <w:t xml:space="preserve">Teknik </w:t>
                        </w:r>
                        <w:r>
                          <w:rPr>
                            <w:sz w:val="20"/>
                            <w:szCs w:val="20"/>
                          </w:rPr>
                          <w:t xml:space="preserve">Analisis : </w:t>
                        </w:r>
                        <w:r w:rsidRPr="00B923E9">
                          <w:rPr>
                            <w:i/>
                            <w:iCs/>
                            <w:sz w:val="20"/>
                            <w:szCs w:val="20"/>
                          </w:rPr>
                          <w:t>Paired Sample T-Test</w:t>
                        </w:r>
                      </w:p>
                    </w:txbxContent>
                  </v:textbox>
                </v:rect>
                <v:shapetype id="_x0000_t32" coordsize="21600,21600" o:spt="32" o:oned="t" path="m,l21600,21600e" filled="f">
                  <v:path arrowok="t" fillok="f" o:connecttype="none"/>
                  <o:lock v:ext="edit" shapetype="t"/>
                </v:shapetype>
                <v:shape id="Straight Arrow Connector 5" o:spid="_x0000_s1032" type="#_x0000_t32" style="position:absolute;left:4038;top:1316;width:10257;height:11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" strokecolor="black [3200]" strokeweight=".5pt">
                  <v:stroke endarrow="block" joinstyle="miter"/>
                </v:shape>
                <v:shape id="Straight Arrow Connector 6" o:spid="_x0000_s1033" type="#_x0000_t32" style="position:absolute;left:25749;top:1243;width:9545;height:11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" strokecolor="black [3200]" strokeweight=".5pt">
                  <v:stroke endarrow="block" joinstyle="miter"/>
                </v:shape>
                <v:shape id="Straight Arrow Connector 8" o:spid="_x0000_s1034" type="#_x0000_t32" style="position:absolute;left:25764;top:4901;width:9544;height:27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" strokecolor="black [3200]" strokeweight=".5pt">
                  <v:stroke endarrow="block" joinstyle="miter"/>
                </v:shape>
                <v:shape id="Straight Arrow Connector 9" o:spid="_x0000_s1035" type="#_x0000_t32" style="position:absolute;left:4315;top:5266;width:9950;height:2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" strokecolor="black [3200]" strokeweight=".5pt">
                  <v:stroke endarrow="block" joinstyle="miter"/>
                </v:shape>
                <v:shape id="Straight Arrow Connector 10" o:spid="_x0000_s1036" type="#_x0000_t32" style="position:absolute;left:20178;top:8822;width:12;height:19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" strokecolor="black [3200]" strokeweight=".5pt">
                  <v:stroke endarrow="block" joinstyle="miter"/>
                </v:shape>
                <v:rect id="Rectangle 2" o:spid="_x0000_s1037" style="position:absolute;left:9223;top:15419;width:21961;height:2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" fillcolor="white [3201]" strokecolor="black [3200]" strokeweight=".25pt">
                  <v:textbox>
                    <w:txbxContent>
                      <w:p w:rsidR="00816C00" w:rsidRPr="009611F3" w:rsidRDefault="00816C00" w:rsidP="00816C00">
                        <w:pPr>
                          <w:jc w:val="center"/>
                          <w:rPr>
                            <w:sz w:val="20"/>
                            <w:szCs w:val="20"/>
                          </w:rPr>
                        </w:pPr>
                        <w:r>
                          <w:rPr>
                            <w:sz w:val="20"/>
                            <w:szCs w:val="20"/>
                          </w:rPr>
                          <w:t xml:space="preserve">Analisis </w:t>
                        </w:r>
                        <w:r>
                          <w:rPr>
                            <w:sz w:val="20"/>
                            <w:szCs w:val="20"/>
                          </w:rPr>
                          <w:t xml:space="preserve">Tingkat Kesehatan : </w:t>
                        </w:r>
                        <w:r w:rsidRPr="00EF4102">
                          <w:rPr>
                            <w:i/>
                            <w:iCs/>
                            <w:sz w:val="20"/>
                            <w:szCs w:val="20"/>
                          </w:rPr>
                          <w:t>CAMEL</w:t>
                        </w:r>
                      </w:p>
                      <w:p w:rsidR="00816C00" w:rsidRPr="009611F3" w:rsidRDefault="00816C00" w:rsidP="00816C00">
                        <w:pPr>
                          <w:jc w:val="center"/>
                          <w:rPr>
                            <w:sz w:val="20"/>
                            <w:szCs w:val="20"/>
                          </w:rPr>
                        </w:pPr>
                      </w:p>
                    </w:txbxContent>
                  </v:textbox>
                </v:rect>
                <v:rect id="Rectangle 2" o:spid="_x0000_s1038" style="position:absolute;left:14648;top:20353;width:11211;height:2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" fillcolor="white [3201]" strokecolor="black [3200]" strokeweight=".25pt">
                  <v:textbox>
                    <w:txbxContent>
                      <w:p w:rsidR="00816C00" w:rsidRPr="009611F3" w:rsidRDefault="00816C00" w:rsidP="00816C00">
                        <w:pPr>
                          <w:jc w:val="center"/>
                          <w:rPr>
                            <w:sz w:val="20"/>
                            <w:szCs w:val="20"/>
                          </w:rPr>
                        </w:pPr>
                        <w:r>
                          <w:rPr>
                            <w:sz w:val="20"/>
                            <w:szCs w:val="20"/>
                          </w:rPr>
                          <w:t xml:space="preserve">Hasil </w:t>
                        </w:r>
                        <w:r>
                          <w:rPr>
                            <w:sz w:val="20"/>
                            <w:szCs w:val="20"/>
                          </w:rPr>
                          <w:t>Analisis</w:t>
                        </w:r>
                      </w:p>
                    </w:txbxContent>
                  </v:textbox>
                </v:rect>
                <v:shape id="Straight Arrow Connector 10" o:spid="_x0000_s1039" type="#_x0000_t32" style="position:absolute;left:20190;top:17860;width:53;height:24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" strokecolor="black [3200]" strokeweight=".5pt">
                  <v:stroke endarrow="block" joinstyle="miter"/>
                </v:shape>
              </v:group>
            </w:pict>
          </mc:Fallback>
        </mc:AlternateContent>
      </w:r>
    </w:p>
    <w:p w:rsidR="00816C00" w:rsidRPr="008A359D" w:rsidRDefault="00816C00" w:rsidP="00816C00">
      <w:pPr>
        <w:pBdr>
          <w:top w:val="nil"/>
          <w:left w:val="nil"/>
          <w:bottom w:val="nil"/>
          <w:right w:val="nil"/>
          <w:between w:val="nil"/>
        </w:pBdr>
        <w:jc w:val="both"/>
        <w:rPr>
          <w:sz w:val="20"/>
          <w:szCs w:val="20"/>
        </w:rPr>
      </w:pPr>
    </w:p>
    <w:p w:rsidR="00816C00" w:rsidRPr="008A359D" w:rsidRDefault="00816C00" w:rsidP="00816C00">
      <w:pPr>
        <w:pBdr>
          <w:top w:val="nil"/>
          <w:left w:val="nil"/>
          <w:bottom w:val="nil"/>
          <w:right w:val="nil"/>
          <w:between w:val="nil"/>
        </w:pBdr>
        <w:jc w:val="both"/>
        <w:rPr>
          <w:sz w:val="20"/>
          <w:szCs w:val="20"/>
        </w:rPr>
      </w:pPr>
    </w:p>
    <w:p w:rsidR="00816C00" w:rsidRPr="008A359D" w:rsidRDefault="00816C00" w:rsidP="00816C00">
      <w:pPr>
        <w:pBdr>
          <w:top w:val="nil"/>
          <w:left w:val="nil"/>
          <w:bottom w:val="nil"/>
          <w:right w:val="nil"/>
          <w:between w:val="nil"/>
        </w:pBdr>
        <w:jc w:val="both"/>
        <w:rPr>
          <w:sz w:val="20"/>
          <w:szCs w:val="20"/>
        </w:rPr>
      </w:pPr>
    </w:p>
    <w:p w:rsidR="00816C00" w:rsidRPr="008A359D" w:rsidRDefault="00816C00" w:rsidP="00816C00">
      <w:pPr>
        <w:pBdr>
          <w:top w:val="nil"/>
          <w:left w:val="nil"/>
          <w:bottom w:val="nil"/>
          <w:right w:val="nil"/>
          <w:between w:val="nil"/>
        </w:pBdr>
        <w:jc w:val="both"/>
        <w:rPr>
          <w:sz w:val="20"/>
          <w:szCs w:val="20"/>
        </w:rPr>
      </w:pPr>
    </w:p>
    <w:p w:rsidR="00816C00" w:rsidRPr="008A359D" w:rsidRDefault="00816C00" w:rsidP="00816C00">
      <w:pPr>
        <w:pBdr>
          <w:top w:val="nil"/>
          <w:left w:val="nil"/>
          <w:bottom w:val="nil"/>
          <w:right w:val="nil"/>
          <w:between w:val="nil"/>
        </w:pBdr>
        <w:jc w:val="both"/>
        <w:rPr>
          <w:sz w:val="20"/>
          <w:szCs w:val="20"/>
        </w:rPr>
      </w:pPr>
    </w:p>
    <w:p w:rsidR="00816C00" w:rsidRPr="008A359D" w:rsidRDefault="00816C00" w:rsidP="00816C00">
      <w:pPr>
        <w:pBdr>
          <w:top w:val="nil"/>
          <w:left w:val="nil"/>
          <w:bottom w:val="nil"/>
          <w:right w:val="nil"/>
          <w:between w:val="nil"/>
        </w:pBdr>
        <w:jc w:val="both"/>
        <w:rPr>
          <w:sz w:val="20"/>
          <w:szCs w:val="20"/>
        </w:rPr>
      </w:pPr>
    </w:p>
    <w:p w:rsidR="00816C00" w:rsidRPr="008A359D" w:rsidRDefault="00816C00" w:rsidP="00816C00">
      <w:pPr>
        <w:pBdr>
          <w:top w:val="nil"/>
          <w:left w:val="nil"/>
          <w:bottom w:val="nil"/>
          <w:right w:val="nil"/>
          <w:between w:val="nil"/>
        </w:pBdr>
        <w:jc w:val="both"/>
        <w:rPr>
          <w:sz w:val="20"/>
          <w:szCs w:val="20"/>
        </w:rPr>
      </w:pPr>
    </w:p>
    <w:p w:rsidR="00816C00" w:rsidRPr="008A359D" w:rsidRDefault="00816C00" w:rsidP="00816C00">
      <w:pPr>
        <w:pBdr>
          <w:top w:val="nil"/>
          <w:left w:val="nil"/>
          <w:bottom w:val="nil"/>
          <w:right w:val="nil"/>
          <w:between w:val="nil"/>
        </w:pBdr>
        <w:jc w:val="both"/>
        <w:rPr>
          <w:sz w:val="20"/>
          <w:szCs w:val="20"/>
        </w:rPr>
      </w:pPr>
    </w:p>
    <w:p w:rsidR="00816C00" w:rsidRPr="008A359D" w:rsidRDefault="00816C00" w:rsidP="00816C00">
      <w:pPr>
        <w:pBdr>
          <w:top w:val="nil"/>
          <w:left w:val="nil"/>
          <w:bottom w:val="nil"/>
          <w:right w:val="nil"/>
          <w:between w:val="nil"/>
        </w:pBdr>
        <w:jc w:val="both"/>
        <w:rPr>
          <w:sz w:val="20"/>
          <w:szCs w:val="20"/>
        </w:rPr>
      </w:pPr>
      <w:r w:rsidRPr="008A359D">
        <w:rPr>
          <w:noProof/>
          <w:sz w:val="20"/>
          <w:szCs w:val="20"/>
        </w:rPr>
        <mc:AlternateContent>
          <mc:Choice Requires="wps">
            <w:drawing>
              <wp:anchor distT="0" distB="0" distL="114300" distR="114300" simplePos="0" relativeHeight="251661312" behindDoc="0" locked="0" layoutInCell="1" allowOverlap="1" wp14:anchorId="16FEAE28" wp14:editId="436BEDA0">
                <wp:simplePos x="0" y="0"/>
                <wp:positionH relativeFrom="column">
                  <wp:posOffset>3018786</wp:posOffset>
                </wp:positionH>
                <wp:positionV relativeFrom="paragraph">
                  <wp:posOffset>42600</wp:posOffset>
                </wp:positionV>
                <wp:extent cx="0" cy="210710"/>
                <wp:effectExtent l="76200" t="0" r="57150" b="56515"/>
                <wp:wrapNone/>
                <wp:docPr id="1274112844" name="Straight Arrow Connector 2"/>
                <wp:cNvGraphicFramePr/>
                <a:graphic xmlns:a="http://schemas.openxmlformats.org/drawingml/2006/main">
                  <a:graphicData uri="http://schemas.microsoft.com/office/word/2010/wordprocessingShape">
                    <wps:wsp>
                      <wps:cNvCnPr/>
                      <wps:spPr>
                        <a:xfrm>
                          <a:off x="0" y="0"/>
                          <a:ext cx="0" cy="21071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86F112" id="Straight Arrow Connector 2" o:spid="_x0000_s1026" type="#_x0000_t32" style="position:absolute;margin-left:237.7pt;margin-top:3.35pt;width:0;height:1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" strokecolor="black [3200]" strokeweight="1pt">
                <v:stroke endarrow="block" joinstyle="miter"/>
              </v:shape>
            </w:pict>
          </mc:Fallback>
        </mc:AlternateContent>
      </w:r>
    </w:p>
    <w:p w:rsidR="00816C00" w:rsidRPr="008A359D" w:rsidRDefault="00816C00" w:rsidP="00816C00">
      <w:pPr>
        <w:pBdr>
          <w:top w:val="nil"/>
          <w:left w:val="nil"/>
          <w:bottom w:val="nil"/>
          <w:right w:val="nil"/>
          <w:between w:val="nil"/>
        </w:pBdr>
        <w:jc w:val="both"/>
        <w:rPr>
          <w:sz w:val="20"/>
          <w:szCs w:val="20"/>
        </w:rPr>
      </w:pPr>
    </w:p>
    <w:p w:rsidR="00816C00" w:rsidRPr="008A359D" w:rsidRDefault="00816C00" w:rsidP="00816C00">
      <w:pPr>
        <w:pBdr>
          <w:top w:val="nil"/>
          <w:left w:val="nil"/>
          <w:bottom w:val="nil"/>
          <w:right w:val="nil"/>
          <w:between w:val="nil"/>
        </w:pBdr>
        <w:jc w:val="both"/>
        <w:rPr>
          <w:sz w:val="20"/>
          <w:szCs w:val="20"/>
        </w:rPr>
      </w:pPr>
    </w:p>
    <w:p w:rsidR="00816C00" w:rsidRPr="008A359D" w:rsidRDefault="00816C00" w:rsidP="00816C00">
      <w:pPr>
        <w:pBdr>
          <w:top w:val="nil"/>
          <w:left w:val="nil"/>
          <w:bottom w:val="nil"/>
          <w:right w:val="nil"/>
          <w:between w:val="nil"/>
        </w:pBdr>
        <w:jc w:val="both"/>
        <w:rPr>
          <w:sz w:val="20"/>
          <w:szCs w:val="20"/>
        </w:rPr>
      </w:pPr>
    </w:p>
    <w:p w:rsidR="00816C00" w:rsidRPr="008A359D" w:rsidRDefault="00816C00" w:rsidP="00816C00">
      <w:pPr>
        <w:pBdr>
          <w:top w:val="nil"/>
          <w:left w:val="nil"/>
          <w:bottom w:val="nil"/>
          <w:right w:val="nil"/>
          <w:between w:val="nil"/>
        </w:pBdr>
        <w:jc w:val="both"/>
        <w:rPr>
          <w:sz w:val="20"/>
          <w:szCs w:val="20"/>
        </w:rPr>
      </w:pPr>
    </w:p>
    <w:p w:rsidR="00816C00" w:rsidRPr="008A359D" w:rsidRDefault="00816C00" w:rsidP="00816C00">
      <w:pPr>
        <w:pBdr>
          <w:top w:val="nil"/>
          <w:left w:val="nil"/>
          <w:bottom w:val="nil"/>
          <w:right w:val="nil"/>
          <w:between w:val="nil"/>
        </w:pBdr>
        <w:jc w:val="both"/>
        <w:rPr>
          <w:sz w:val="20"/>
          <w:szCs w:val="20"/>
        </w:rPr>
      </w:pPr>
    </w:p>
    <w:p w:rsidR="00816C00" w:rsidRPr="008A359D" w:rsidRDefault="00816C00" w:rsidP="00816C00">
      <w:pPr>
        <w:pBdr>
          <w:top w:val="nil"/>
          <w:left w:val="nil"/>
          <w:bottom w:val="nil"/>
          <w:right w:val="nil"/>
          <w:between w:val="nil"/>
        </w:pBdr>
        <w:jc w:val="both"/>
        <w:rPr>
          <w:sz w:val="20"/>
          <w:szCs w:val="20"/>
        </w:rPr>
      </w:pPr>
    </w:p>
    <w:p w:rsidR="00816C00" w:rsidRPr="008A359D" w:rsidRDefault="00816C00" w:rsidP="00816C00">
      <w:pPr>
        <w:pBdr>
          <w:top w:val="nil"/>
          <w:left w:val="nil"/>
          <w:bottom w:val="nil"/>
          <w:right w:val="nil"/>
          <w:between w:val="nil"/>
        </w:pBdr>
        <w:jc w:val="center"/>
        <w:rPr>
          <w:sz w:val="20"/>
          <w:szCs w:val="20"/>
        </w:rPr>
      </w:pPr>
      <w:r w:rsidRPr="008A359D">
        <w:rPr>
          <w:sz w:val="20"/>
          <w:szCs w:val="20"/>
        </w:rPr>
        <w:t>Gambar 1. Kerangka Konseptual</w:t>
      </w:r>
    </w:p>
    <w:p w:rsidR="00816C00" w:rsidRPr="008A359D" w:rsidRDefault="00816C00" w:rsidP="00816C00">
      <w:pPr>
        <w:pBdr>
          <w:top w:val="nil"/>
          <w:left w:val="nil"/>
          <w:bottom w:val="nil"/>
          <w:right w:val="nil"/>
          <w:between w:val="nil"/>
        </w:pBdr>
        <w:jc w:val="both"/>
        <w:rPr>
          <w:b/>
          <w:bCs/>
          <w:sz w:val="20"/>
          <w:szCs w:val="20"/>
        </w:rPr>
      </w:pPr>
      <w:r w:rsidRPr="008A359D">
        <w:rPr>
          <w:b/>
          <w:bCs/>
          <w:sz w:val="20"/>
          <w:szCs w:val="20"/>
        </w:rPr>
        <w:t>Hipotesis</w:t>
      </w:r>
    </w:p>
    <w:p w:rsidR="00816C00" w:rsidRPr="008A359D" w:rsidRDefault="00816C00" w:rsidP="00816C00">
      <w:pPr>
        <w:pBdr>
          <w:top w:val="nil"/>
          <w:left w:val="nil"/>
          <w:bottom w:val="nil"/>
          <w:right w:val="nil"/>
          <w:between w:val="nil"/>
        </w:pBdr>
        <w:ind w:firstLine="284"/>
        <w:jc w:val="both"/>
        <w:rPr>
          <w:sz w:val="20"/>
          <w:szCs w:val="20"/>
        </w:rPr>
      </w:pPr>
      <w:r w:rsidRPr="008A359D">
        <w:rPr>
          <w:sz w:val="20"/>
          <w:szCs w:val="20"/>
        </w:rPr>
        <w:t xml:space="preserve">Berdasarkan paparan di atas, dugaan yang dimiliki peneliti ialah: </w:t>
      </w:r>
    </w:p>
    <w:p w:rsidR="00816C00" w:rsidRPr="008A359D" w:rsidRDefault="00816C00" w:rsidP="00816C00">
      <w:pPr>
        <w:pBdr>
          <w:top w:val="nil"/>
          <w:left w:val="nil"/>
          <w:bottom w:val="nil"/>
          <w:right w:val="nil"/>
          <w:between w:val="nil"/>
        </w:pBdr>
        <w:jc w:val="both"/>
        <w:rPr>
          <w:sz w:val="20"/>
          <w:szCs w:val="20"/>
        </w:rPr>
      </w:pPr>
      <w:r w:rsidRPr="008A359D">
        <w:rPr>
          <w:sz w:val="20"/>
          <w:szCs w:val="20"/>
        </w:rPr>
        <w:t>H1 : Adanya perbedaan antara tingkat kesehatan Bank Syariah Indonesia sebelum dan ketika serangan cyber.</w:t>
      </w:r>
    </w:p>
    <w:p w:rsidR="00816C00" w:rsidRPr="008A359D" w:rsidRDefault="00816C00" w:rsidP="00816C00">
      <w:pPr>
        <w:pBdr>
          <w:top w:val="nil"/>
          <w:left w:val="nil"/>
          <w:bottom w:val="nil"/>
          <w:right w:val="nil"/>
          <w:between w:val="nil"/>
        </w:pBdr>
        <w:jc w:val="both"/>
        <w:rPr>
          <w:sz w:val="20"/>
          <w:szCs w:val="20"/>
        </w:rPr>
      </w:pPr>
    </w:p>
    <w:p w:rsidR="00816C00" w:rsidRPr="008A359D" w:rsidRDefault="00816C00" w:rsidP="00816C00">
      <w:pPr>
        <w:pBdr>
          <w:top w:val="nil"/>
          <w:left w:val="nil"/>
          <w:bottom w:val="nil"/>
          <w:right w:val="nil"/>
          <w:between w:val="nil"/>
        </w:pBdr>
        <w:jc w:val="both"/>
        <w:rPr>
          <w:b/>
          <w:bCs/>
          <w:sz w:val="20"/>
          <w:szCs w:val="20"/>
        </w:rPr>
      </w:pPr>
      <w:r w:rsidRPr="008A359D">
        <w:rPr>
          <w:b/>
          <w:bCs/>
          <w:sz w:val="20"/>
          <w:szCs w:val="20"/>
        </w:rPr>
        <w:t>Kategori SDGs</w:t>
      </w:r>
    </w:p>
    <w:p w:rsidR="00816C00" w:rsidRPr="008A359D" w:rsidRDefault="00816C00" w:rsidP="00816C00">
      <w:pPr>
        <w:pBdr>
          <w:top w:val="nil"/>
          <w:left w:val="nil"/>
          <w:bottom w:val="nil"/>
          <w:right w:val="nil"/>
          <w:between w:val="nil"/>
        </w:pBdr>
        <w:ind w:firstLine="284"/>
        <w:jc w:val="both"/>
        <w:rPr>
          <w:sz w:val="20"/>
          <w:szCs w:val="20"/>
        </w:rPr>
      </w:pPr>
      <w:r w:rsidRPr="008A359D">
        <w:rPr>
          <w:sz w:val="20"/>
          <w:szCs w:val="20"/>
        </w:rPr>
        <w:t xml:space="preserve">Terdapat 17 SDGs, namun yang paling erat kaitannya dengan kesehatan bank adalah mengurangi kesenjangan intra dan antar negara yang merupakan SDG no 10 </w:t>
      </w:r>
      <w:r w:rsidRPr="008A359D">
        <w:rPr>
          <w:sz w:val="20"/>
          <w:szCs w:val="20"/>
        </w:rPr>
        <w:fldChar w:fldCharType="begin" w:fldLock="1"/>
      </w:r>
      <w:r w:rsidRPr="008A359D">
        <w:rPr>
          <w:sz w:val="20"/>
          <w:szCs w:val="20"/>
        </w:rPr>
        <w:instrText>ADDIN CSL_CITATION {"citationItems":[{"id":"ITEM-1","itemData":{"URL":"https://sdgs.un.org/goals","abstract":"17 Sustainable Development Goals","author":[{"dropping-particle":"","family":"Economic and Social Affairs","given":"Departement","non-dropping-particle":"","parse-names":false,"suffix":""}],"container-title":"sdgs.un.org","id":"ITEM-1","issued":{"date-parts":[["2024"]]},"title":"Sustainable Development Goals","type":"webpage"},"uris":["http://www.mendeley.com/documents/?uuid=845671fb-cfaf-4a97-a678-84205267c356"]}],"mendeley":{"formattedCitation":"[26]","plainTextFormattedCitation":"[26]","previouslyFormattedCitation":"[26]"},"properties":{"noteIndex":0},"schema":"https://github.com/citation-style-language/schema/raw/master/csl-citation.json"}</w:instrText>
      </w:r>
      <w:r w:rsidRPr="008A359D">
        <w:rPr>
          <w:sz w:val="20"/>
          <w:szCs w:val="20"/>
        </w:rPr>
        <w:fldChar w:fldCharType="separate"/>
      </w:r>
      <w:r w:rsidRPr="008A359D">
        <w:rPr>
          <w:noProof/>
          <w:sz w:val="20"/>
          <w:szCs w:val="20"/>
        </w:rPr>
        <w:t>[26]</w:t>
      </w:r>
      <w:r w:rsidRPr="008A359D">
        <w:rPr>
          <w:sz w:val="20"/>
          <w:szCs w:val="20"/>
        </w:rPr>
        <w:fldChar w:fldCharType="end"/>
      </w:r>
      <w:r w:rsidRPr="008A359D">
        <w:rPr>
          <w:sz w:val="20"/>
          <w:szCs w:val="20"/>
        </w:rPr>
        <w:t>. Melalui penelitian ini, peneliti berupaya mencari tahu tingkat kesehatan bank pada Bank Syariah Indonesia sebelum dan ketika serangan cyber bulan April 2023 dan Mei 2023.</w:t>
      </w:r>
    </w:p>
    <w:p w:rsidR="00816C00" w:rsidRPr="008A359D" w:rsidRDefault="00816C00" w:rsidP="00816C00">
      <w:pPr>
        <w:pBdr>
          <w:top w:val="nil"/>
          <w:left w:val="nil"/>
          <w:bottom w:val="nil"/>
          <w:right w:val="nil"/>
          <w:between w:val="nil"/>
        </w:pBdr>
        <w:jc w:val="both"/>
        <w:rPr>
          <w:sz w:val="20"/>
          <w:szCs w:val="20"/>
        </w:rPr>
      </w:pPr>
    </w:p>
    <w:p w:rsidR="00816C00" w:rsidRPr="008A359D" w:rsidRDefault="00816C00" w:rsidP="00816C00">
      <w:pPr>
        <w:pStyle w:val="Heading1"/>
        <w:numPr>
          <w:ilvl w:val="0"/>
          <w:numId w:val="3"/>
        </w:numPr>
        <w:tabs>
          <w:tab w:val="left" w:pos="0"/>
        </w:tabs>
        <w:rPr>
          <w:sz w:val="24"/>
          <w:szCs w:val="24"/>
        </w:rPr>
      </w:pPr>
      <w:r w:rsidRPr="008A359D">
        <w:rPr>
          <w:sz w:val="24"/>
          <w:szCs w:val="24"/>
        </w:rPr>
        <w:lastRenderedPageBreak/>
        <w:t>II. Metode</w:t>
      </w:r>
    </w:p>
    <w:p w:rsidR="00816C00" w:rsidRPr="008A359D" w:rsidRDefault="00816C00" w:rsidP="00816C00">
      <w:pPr>
        <w:pBdr>
          <w:top w:val="nil"/>
          <w:left w:val="nil"/>
          <w:bottom w:val="nil"/>
          <w:right w:val="nil"/>
          <w:between w:val="nil"/>
        </w:pBdr>
        <w:jc w:val="both"/>
        <w:rPr>
          <w:b/>
          <w:bCs/>
          <w:sz w:val="20"/>
          <w:szCs w:val="20"/>
        </w:rPr>
      </w:pPr>
      <w:r w:rsidRPr="008A359D">
        <w:rPr>
          <w:b/>
          <w:bCs/>
          <w:sz w:val="20"/>
          <w:szCs w:val="20"/>
        </w:rPr>
        <w:t>Jenis Penelitian</w:t>
      </w:r>
    </w:p>
    <w:p w:rsidR="00816C00" w:rsidRPr="008A359D" w:rsidRDefault="00816C00" w:rsidP="00816C00">
      <w:pPr>
        <w:pBdr>
          <w:top w:val="nil"/>
          <w:left w:val="nil"/>
          <w:bottom w:val="nil"/>
          <w:right w:val="nil"/>
          <w:between w:val="nil"/>
        </w:pBdr>
        <w:ind w:firstLine="288"/>
        <w:jc w:val="both"/>
        <w:rPr>
          <w:sz w:val="20"/>
          <w:szCs w:val="20"/>
        </w:rPr>
      </w:pPr>
      <w:r w:rsidRPr="008A359D">
        <w:rPr>
          <w:sz w:val="20"/>
          <w:szCs w:val="20"/>
        </w:rPr>
        <w:t>Penelitian ini menggunakan penelitian deskriptif komparatif, melalui pendekatan kuantitatif. Penelitian ini menggunakan data sekunder yang berupa laporan keuangan bulanan Bank Syariah Indonesia dan dapat diakses di bankbsi.co.id.</w:t>
      </w:r>
    </w:p>
    <w:p w:rsidR="00816C00" w:rsidRPr="008A359D" w:rsidRDefault="00816C00" w:rsidP="00816C00">
      <w:pPr>
        <w:pBdr>
          <w:top w:val="nil"/>
          <w:left w:val="nil"/>
          <w:bottom w:val="nil"/>
          <w:right w:val="nil"/>
          <w:between w:val="nil"/>
        </w:pBdr>
        <w:ind w:firstLine="288"/>
        <w:jc w:val="both"/>
        <w:rPr>
          <w:sz w:val="20"/>
          <w:szCs w:val="20"/>
        </w:rPr>
      </w:pPr>
    </w:p>
    <w:p w:rsidR="00816C00" w:rsidRPr="008A359D" w:rsidRDefault="00816C00" w:rsidP="00816C00">
      <w:pPr>
        <w:pBdr>
          <w:top w:val="nil"/>
          <w:left w:val="nil"/>
          <w:bottom w:val="nil"/>
          <w:right w:val="nil"/>
          <w:between w:val="nil"/>
        </w:pBdr>
        <w:jc w:val="both"/>
        <w:rPr>
          <w:b/>
          <w:bCs/>
          <w:sz w:val="20"/>
          <w:szCs w:val="20"/>
        </w:rPr>
      </w:pPr>
      <w:r w:rsidRPr="008A359D">
        <w:rPr>
          <w:b/>
          <w:bCs/>
          <w:sz w:val="20"/>
          <w:szCs w:val="20"/>
        </w:rPr>
        <w:t>Populasi dan Sampel</w:t>
      </w:r>
    </w:p>
    <w:p w:rsidR="00816C00" w:rsidRPr="008A359D" w:rsidRDefault="00816C00" w:rsidP="00816C00">
      <w:pPr>
        <w:pBdr>
          <w:top w:val="nil"/>
          <w:left w:val="nil"/>
          <w:bottom w:val="nil"/>
          <w:right w:val="nil"/>
          <w:between w:val="nil"/>
        </w:pBdr>
        <w:ind w:firstLine="288"/>
        <w:jc w:val="both"/>
        <w:rPr>
          <w:sz w:val="20"/>
          <w:szCs w:val="20"/>
        </w:rPr>
      </w:pPr>
      <w:r w:rsidRPr="008A359D">
        <w:rPr>
          <w:sz w:val="20"/>
          <w:szCs w:val="20"/>
        </w:rPr>
        <w:t xml:space="preserve">Penelitian ini menggunakan laporan keuangan Bank Syariah Indonesia sebagai populasi penelitian. Adapun sampel yang dipakai ialah laporan keuangan bulanan Bank Syariah Indonesia bulan April 2023 karena sebelum terjadi serangan cyber &amp; Mei 2023 karena saat terjadinya serangan cyber. </w:t>
      </w:r>
    </w:p>
    <w:p w:rsidR="00816C00" w:rsidRPr="008A359D" w:rsidRDefault="00816C00" w:rsidP="00816C00">
      <w:pPr>
        <w:pBdr>
          <w:top w:val="nil"/>
          <w:left w:val="nil"/>
          <w:bottom w:val="nil"/>
          <w:right w:val="nil"/>
          <w:between w:val="nil"/>
        </w:pBdr>
        <w:ind w:firstLine="288"/>
        <w:jc w:val="both"/>
        <w:rPr>
          <w:sz w:val="20"/>
          <w:szCs w:val="20"/>
        </w:rPr>
      </w:pPr>
    </w:p>
    <w:p w:rsidR="00816C00" w:rsidRPr="008A359D" w:rsidRDefault="00816C00" w:rsidP="00816C00">
      <w:pPr>
        <w:pBdr>
          <w:top w:val="nil"/>
          <w:left w:val="nil"/>
          <w:bottom w:val="nil"/>
          <w:right w:val="nil"/>
          <w:between w:val="nil"/>
        </w:pBdr>
        <w:jc w:val="both"/>
        <w:rPr>
          <w:b/>
          <w:bCs/>
          <w:sz w:val="20"/>
          <w:szCs w:val="20"/>
        </w:rPr>
      </w:pPr>
      <w:r w:rsidRPr="008A359D">
        <w:rPr>
          <w:b/>
          <w:bCs/>
          <w:sz w:val="20"/>
          <w:szCs w:val="20"/>
        </w:rPr>
        <w:t>Variabel Penelitian</w:t>
      </w:r>
    </w:p>
    <w:p w:rsidR="00816C00" w:rsidRPr="008A359D" w:rsidRDefault="00816C00" w:rsidP="00816C00">
      <w:pPr>
        <w:pBdr>
          <w:top w:val="nil"/>
          <w:left w:val="nil"/>
          <w:bottom w:val="nil"/>
          <w:right w:val="nil"/>
          <w:between w:val="nil"/>
        </w:pBdr>
        <w:ind w:firstLine="288"/>
        <w:jc w:val="both"/>
        <w:rPr>
          <w:sz w:val="20"/>
          <w:szCs w:val="20"/>
        </w:rPr>
      </w:pPr>
      <w:r w:rsidRPr="008A359D">
        <w:rPr>
          <w:sz w:val="20"/>
          <w:szCs w:val="20"/>
        </w:rPr>
        <w:t xml:space="preserve">Variabel penelitian dapat didefinisikan sebagai suatu sifat, atribut atau nilai dari individu, objek, maupun kegiatan dengan variasi tertentu yang ditentukan peneliti untuk dilakukan analisis dan kemudian di simpulkan </w:t>
      </w:r>
      <w:r w:rsidRPr="008A359D">
        <w:rPr>
          <w:sz w:val="20"/>
          <w:szCs w:val="20"/>
        </w:rPr>
        <w:fldChar w:fldCharType="begin" w:fldLock="1"/>
      </w:r>
      <w:r w:rsidRPr="008A359D">
        <w:rPr>
          <w:sz w:val="20"/>
          <w:szCs w:val="20"/>
        </w:rPr>
        <w:instrText>ADDIN CSL_CITATION {"citationItems":[{"id":"ITEM-1","itemData":{"ISBN":"9789896540821","abstract":"Guru merupakan elemen utama yang memiliki peran penting dalam pendidikan formal. Keberadaannya menjadi penentu keberhasilan peserta didik dan kualitas pendidikan. Pada masa pandemi Covid 19 saat ini guru dituntut harus mampu menunjukkan kompetensi guru dalam membimbing, melatih, mendidik, dan mengajar siswanya. Sesuai dengan kebijakan yang ditetapkan oleh pemerintah yaitu diwajibkan untuk seluruh sekolah melakukan sistem pembelajaran secara daring, oleh karenanya guru maupun siswa harus sama-sama bekerja sama agar tujuan dari pembelajaran selama pandemic COVID-19 tercapai. Guru harus tetap menjalankan tugasnya dalam mengajar, melatih, mendorong kreativitas meskipun tanpa harus bertatap muka secara langsung dengan siswa. dalam hal ini diperlukan peran guru dalam menunjang proses pembelajaran secara daring (dalam jaringan). Tulisan ini bertujuan untuk mendeskripsikan peranan guru dalam pembelajaran daring dimasa pandemi COVID-19. Metode yang digunakan dalam penelitian ini ialah metode studi pustaka. Hasil kajian menunjukkan bahwa guru memiliki peranan penting dalam proses pembelajaran khususnya pada masa pandemi COVID-19. Guru harus bisa memotivasi siswa agar tetap semangat dalam belajar. Kata","author":[{"dropping-particle":"","family":"T.M. Rizki","given":"","non-dropping-particle":"","parse-names":false,"suffix":""}],"container-title":"Program Studi Perbankan Syariah Fakultas Ekonomi Dan Bisnis Islam Universitas Islam Negeri Ar-Raniry Banda Aceh 2020 M/ 1442 H","id":"ITEM-1","issue":"1","issued":{"date-parts":[["2020"]]},"page":"1-9","title":"ANALISIS TINGKAT KESEHATAN BANK MENGGUNAKAN METODE CAMEL (STUDI PADA PT. BANK MUAMALAT INDONESIA Tbk TAHUN 2016-2019)","type":"article-journal","volume":"21"},"uris":["http://www.mendeley.com/documents/?uuid=d8fe26ae-3082-457d-810d-87f55315fcca"]}],"mendeley":{"formattedCitation":"[27]","plainTextFormattedCitation":"[27]","previouslyFormattedCitation":"[27]"},"properties":{"noteIndex":0},"schema":"https://github.com/citation-style-language/schema/raw/master/csl-citation.json"}</w:instrText>
      </w:r>
      <w:r w:rsidRPr="008A359D">
        <w:rPr>
          <w:sz w:val="20"/>
          <w:szCs w:val="20"/>
        </w:rPr>
        <w:fldChar w:fldCharType="separate"/>
      </w:r>
      <w:r w:rsidRPr="008A359D">
        <w:rPr>
          <w:noProof/>
          <w:sz w:val="20"/>
          <w:szCs w:val="20"/>
        </w:rPr>
        <w:t>[27]</w:t>
      </w:r>
      <w:r w:rsidRPr="008A359D">
        <w:rPr>
          <w:sz w:val="20"/>
          <w:szCs w:val="20"/>
        </w:rPr>
        <w:fldChar w:fldCharType="end"/>
      </w:r>
      <w:r w:rsidRPr="008A359D">
        <w:rPr>
          <w:sz w:val="20"/>
          <w:szCs w:val="20"/>
        </w:rPr>
        <w:t xml:space="preserve">. Adapun variabel peneltiian ini ialah rasio laporan keuangan yang terdapat didalam metode CAMEL. </w:t>
      </w:r>
    </w:p>
    <w:p w:rsidR="00816C00" w:rsidRPr="008A359D" w:rsidRDefault="00816C00" w:rsidP="00816C00">
      <w:pPr>
        <w:pBdr>
          <w:top w:val="nil"/>
          <w:left w:val="nil"/>
          <w:bottom w:val="nil"/>
          <w:right w:val="nil"/>
          <w:between w:val="nil"/>
        </w:pBdr>
        <w:ind w:firstLine="288"/>
        <w:jc w:val="both"/>
        <w:rPr>
          <w:sz w:val="20"/>
          <w:szCs w:val="20"/>
        </w:rPr>
      </w:pPr>
    </w:p>
    <w:p w:rsidR="00816C00" w:rsidRPr="008A359D" w:rsidRDefault="00816C00" w:rsidP="00816C00">
      <w:pPr>
        <w:pStyle w:val="ListParagraph"/>
        <w:ind w:left="284" w:firstLine="436"/>
        <w:jc w:val="center"/>
        <w:rPr>
          <w:sz w:val="20"/>
          <w:szCs w:val="20"/>
          <w:lang w:val="en-US"/>
        </w:rPr>
      </w:pPr>
      <w:r w:rsidRPr="008A359D">
        <w:rPr>
          <w:sz w:val="20"/>
          <w:szCs w:val="20"/>
          <w:lang w:val="en-US"/>
        </w:rPr>
        <w:t xml:space="preserve">Tabel 3. </w:t>
      </w:r>
      <w:proofErr w:type="spellStart"/>
      <w:r w:rsidRPr="008A359D">
        <w:rPr>
          <w:sz w:val="20"/>
          <w:szCs w:val="20"/>
          <w:lang w:val="en-US"/>
        </w:rPr>
        <w:t>Definisi</w:t>
      </w:r>
      <w:proofErr w:type="spellEnd"/>
      <w:r w:rsidRPr="008A359D">
        <w:rPr>
          <w:sz w:val="20"/>
          <w:szCs w:val="20"/>
          <w:lang w:val="en-US"/>
        </w:rPr>
        <w:t xml:space="preserve"> </w:t>
      </w:r>
      <w:proofErr w:type="spellStart"/>
      <w:r w:rsidRPr="008A359D">
        <w:rPr>
          <w:sz w:val="20"/>
          <w:szCs w:val="20"/>
          <w:lang w:val="en-US"/>
        </w:rPr>
        <w:t>Operasional</w:t>
      </w:r>
      <w:proofErr w:type="spellEnd"/>
      <w:r w:rsidRPr="008A359D">
        <w:rPr>
          <w:sz w:val="20"/>
          <w:szCs w:val="20"/>
          <w:lang w:val="en-US"/>
        </w:rPr>
        <w:t xml:space="preserve"> </w:t>
      </w:r>
      <w:proofErr w:type="spellStart"/>
      <w:r w:rsidRPr="008A359D">
        <w:rPr>
          <w:sz w:val="20"/>
          <w:szCs w:val="20"/>
          <w:lang w:val="en-US"/>
        </w:rPr>
        <w:t>Variabel</w:t>
      </w:r>
      <w:proofErr w:type="spellEnd"/>
    </w:p>
    <w:tbl>
      <w:tblPr>
        <w:tblStyle w:val="PlainTable2"/>
        <w:tblW w:w="9360" w:type="dxa"/>
        <w:tblLayout w:type="fixed"/>
        <w:tblLook w:val="04A0" w:firstRow="1" w:lastRow="0" w:firstColumn="1" w:lastColumn="0" w:noHBand="0" w:noVBand="1"/>
      </w:tblPr>
      <w:tblGrid>
        <w:gridCol w:w="1276"/>
        <w:gridCol w:w="1276"/>
        <w:gridCol w:w="1417"/>
        <w:gridCol w:w="3544"/>
        <w:gridCol w:w="851"/>
        <w:gridCol w:w="996"/>
      </w:tblGrid>
      <w:tr w:rsidR="00816C00" w:rsidRPr="008A359D" w:rsidTr="00581D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816C00" w:rsidRPr="008A359D" w:rsidRDefault="00816C00" w:rsidP="00581DB9">
            <w:pPr>
              <w:pStyle w:val="ListParagraph"/>
              <w:ind w:left="0"/>
              <w:jc w:val="center"/>
              <w:rPr>
                <w:sz w:val="20"/>
                <w:szCs w:val="20"/>
                <w:lang w:val="en-US"/>
              </w:rPr>
            </w:pPr>
            <w:proofErr w:type="spellStart"/>
            <w:r w:rsidRPr="008A359D">
              <w:rPr>
                <w:sz w:val="20"/>
                <w:szCs w:val="20"/>
                <w:lang w:val="en-US"/>
              </w:rPr>
              <w:t>Variabel</w:t>
            </w:r>
            <w:proofErr w:type="spellEnd"/>
          </w:p>
        </w:tc>
        <w:tc>
          <w:tcPr>
            <w:tcW w:w="1276" w:type="dxa"/>
          </w:tcPr>
          <w:p w:rsidR="00816C00" w:rsidRPr="008A359D" w:rsidRDefault="00816C00" w:rsidP="00581DB9">
            <w:pPr>
              <w:pStyle w:val="ListParagraph"/>
              <w:ind w:left="0"/>
              <w:jc w:val="center"/>
              <w:cnfStyle w:val="100000000000" w:firstRow="1" w:lastRow="0" w:firstColumn="0" w:lastColumn="0" w:oddVBand="0" w:evenVBand="0" w:oddHBand="0" w:evenHBand="0" w:firstRowFirstColumn="0" w:firstRowLastColumn="0" w:lastRowFirstColumn="0" w:lastRowLastColumn="0"/>
              <w:rPr>
                <w:sz w:val="20"/>
                <w:szCs w:val="20"/>
                <w:lang w:val="en-US"/>
              </w:rPr>
            </w:pPr>
            <w:proofErr w:type="spellStart"/>
            <w:r w:rsidRPr="008A359D">
              <w:rPr>
                <w:sz w:val="20"/>
                <w:szCs w:val="20"/>
                <w:lang w:val="en-US"/>
              </w:rPr>
              <w:t>Definisi</w:t>
            </w:r>
            <w:proofErr w:type="spellEnd"/>
          </w:p>
        </w:tc>
        <w:tc>
          <w:tcPr>
            <w:tcW w:w="1417" w:type="dxa"/>
          </w:tcPr>
          <w:p w:rsidR="00816C00" w:rsidRPr="008A359D" w:rsidRDefault="00816C00" w:rsidP="00581DB9">
            <w:pPr>
              <w:pStyle w:val="ListParagraph"/>
              <w:ind w:left="0"/>
              <w:jc w:val="center"/>
              <w:cnfStyle w:val="100000000000" w:firstRow="1" w:lastRow="0" w:firstColumn="0" w:lastColumn="0" w:oddVBand="0" w:evenVBand="0" w:oddHBand="0" w:evenHBand="0" w:firstRowFirstColumn="0" w:firstRowLastColumn="0" w:lastRowFirstColumn="0" w:lastRowLastColumn="0"/>
              <w:rPr>
                <w:sz w:val="20"/>
                <w:szCs w:val="20"/>
                <w:lang w:val="en-US"/>
              </w:rPr>
            </w:pPr>
            <w:proofErr w:type="spellStart"/>
            <w:r w:rsidRPr="008A359D">
              <w:rPr>
                <w:sz w:val="20"/>
                <w:szCs w:val="20"/>
                <w:lang w:val="en-US"/>
              </w:rPr>
              <w:t>Indikator</w:t>
            </w:r>
            <w:proofErr w:type="spellEnd"/>
            <w:r w:rsidRPr="008A359D">
              <w:rPr>
                <w:sz w:val="20"/>
                <w:szCs w:val="20"/>
                <w:lang w:val="en-US"/>
              </w:rPr>
              <w:t xml:space="preserve"> </w:t>
            </w:r>
            <w:proofErr w:type="spellStart"/>
            <w:r w:rsidRPr="008A359D">
              <w:rPr>
                <w:sz w:val="20"/>
                <w:szCs w:val="20"/>
                <w:lang w:val="en-US"/>
              </w:rPr>
              <w:t>Variabel</w:t>
            </w:r>
            <w:proofErr w:type="spellEnd"/>
          </w:p>
        </w:tc>
        <w:tc>
          <w:tcPr>
            <w:tcW w:w="3544" w:type="dxa"/>
          </w:tcPr>
          <w:p w:rsidR="00816C00" w:rsidRPr="008A359D" w:rsidRDefault="00816C00" w:rsidP="00581DB9">
            <w:pPr>
              <w:pStyle w:val="ListParagraph"/>
              <w:ind w:left="0"/>
              <w:jc w:val="center"/>
              <w:cnfStyle w:val="100000000000" w:firstRow="1" w:lastRow="0" w:firstColumn="0" w:lastColumn="0" w:oddVBand="0" w:evenVBand="0" w:oddHBand="0" w:evenHBand="0" w:firstRowFirstColumn="0" w:firstRowLastColumn="0" w:lastRowFirstColumn="0" w:lastRowLastColumn="0"/>
              <w:rPr>
                <w:sz w:val="20"/>
                <w:szCs w:val="20"/>
                <w:lang w:val="en-US"/>
              </w:rPr>
            </w:pPr>
            <w:proofErr w:type="spellStart"/>
            <w:r w:rsidRPr="008A359D">
              <w:rPr>
                <w:sz w:val="20"/>
                <w:szCs w:val="20"/>
                <w:lang w:val="en-US"/>
              </w:rPr>
              <w:t>Rumus</w:t>
            </w:r>
            <w:proofErr w:type="spellEnd"/>
          </w:p>
        </w:tc>
        <w:tc>
          <w:tcPr>
            <w:tcW w:w="851" w:type="dxa"/>
          </w:tcPr>
          <w:p w:rsidR="00816C00" w:rsidRPr="008A359D" w:rsidRDefault="00816C00" w:rsidP="00581DB9">
            <w:pPr>
              <w:pStyle w:val="ListParagraph"/>
              <w:ind w:left="0"/>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8A359D">
              <w:rPr>
                <w:sz w:val="20"/>
                <w:szCs w:val="20"/>
              </w:rPr>
              <w:t>Skala</w:t>
            </w:r>
          </w:p>
        </w:tc>
        <w:tc>
          <w:tcPr>
            <w:tcW w:w="996" w:type="dxa"/>
          </w:tcPr>
          <w:p w:rsidR="00816C00" w:rsidRPr="008A359D" w:rsidRDefault="00816C00" w:rsidP="00581DB9">
            <w:pPr>
              <w:pStyle w:val="ListParagraph"/>
              <w:ind w:left="0"/>
              <w:jc w:val="center"/>
              <w:cnfStyle w:val="100000000000" w:firstRow="1" w:lastRow="0" w:firstColumn="0" w:lastColumn="0" w:oddVBand="0" w:evenVBand="0" w:oddHBand="0" w:evenHBand="0" w:firstRowFirstColumn="0" w:firstRowLastColumn="0" w:lastRowFirstColumn="0" w:lastRowLastColumn="0"/>
              <w:rPr>
                <w:sz w:val="20"/>
                <w:szCs w:val="20"/>
              </w:rPr>
            </w:pPr>
            <w:r w:rsidRPr="008A359D">
              <w:rPr>
                <w:sz w:val="20"/>
                <w:szCs w:val="20"/>
              </w:rPr>
              <w:t>Sumber</w:t>
            </w:r>
          </w:p>
        </w:tc>
      </w:tr>
      <w:tr w:rsidR="00816C00" w:rsidRPr="008A359D" w:rsidTr="005C0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nil"/>
            </w:tcBorders>
          </w:tcPr>
          <w:p w:rsidR="00816C00" w:rsidRPr="008A359D" w:rsidRDefault="00816C00" w:rsidP="00581DB9">
            <w:pPr>
              <w:pStyle w:val="ListParagraph"/>
              <w:ind w:left="0"/>
              <w:rPr>
                <w:b w:val="0"/>
                <w:bCs w:val="0"/>
                <w:i/>
                <w:iCs/>
                <w:sz w:val="20"/>
                <w:szCs w:val="20"/>
                <w:lang w:val="en-US"/>
              </w:rPr>
            </w:pPr>
            <w:r w:rsidRPr="008A359D">
              <w:rPr>
                <w:b w:val="0"/>
                <w:bCs w:val="0"/>
                <w:i/>
                <w:iCs/>
                <w:sz w:val="20"/>
                <w:szCs w:val="20"/>
                <w:lang w:val="en-US"/>
              </w:rPr>
              <w:t xml:space="preserve">Capital </w:t>
            </w:r>
          </w:p>
        </w:tc>
        <w:tc>
          <w:tcPr>
            <w:tcW w:w="1276" w:type="dxa"/>
            <w:tcBorders>
              <w:bottom w:val="nil"/>
            </w:tcBorders>
          </w:tcPr>
          <w:p w:rsidR="00816C00" w:rsidRPr="008A359D" w:rsidRDefault="00816C00" w:rsidP="00581DB9">
            <w:pPr>
              <w:pStyle w:val="ListParagraph"/>
              <w:ind w:left="0"/>
              <w:cnfStyle w:val="000000100000" w:firstRow="0" w:lastRow="0" w:firstColumn="0" w:lastColumn="0" w:oddVBand="0" w:evenVBand="0" w:oddHBand="1" w:evenHBand="0" w:firstRowFirstColumn="0" w:firstRowLastColumn="0" w:lastRowFirstColumn="0" w:lastRowLastColumn="0"/>
              <w:rPr>
                <w:sz w:val="20"/>
                <w:szCs w:val="20"/>
                <w:lang w:val="en-US"/>
              </w:rPr>
            </w:pPr>
            <w:proofErr w:type="spellStart"/>
            <w:r w:rsidRPr="008A359D">
              <w:rPr>
                <w:sz w:val="20"/>
                <w:szCs w:val="20"/>
                <w:lang w:val="en-US"/>
              </w:rPr>
              <w:t>Penilaian</w:t>
            </w:r>
            <w:proofErr w:type="spellEnd"/>
            <w:r w:rsidRPr="008A359D">
              <w:rPr>
                <w:sz w:val="20"/>
                <w:szCs w:val="20"/>
                <w:lang w:val="en-US"/>
              </w:rPr>
              <w:t xml:space="preserve"> </w:t>
            </w:r>
            <w:proofErr w:type="spellStart"/>
            <w:r w:rsidRPr="008A359D">
              <w:rPr>
                <w:sz w:val="20"/>
                <w:szCs w:val="20"/>
                <w:lang w:val="en-US"/>
              </w:rPr>
              <w:t>terhadap</w:t>
            </w:r>
            <w:proofErr w:type="spellEnd"/>
            <w:r w:rsidRPr="008A359D">
              <w:rPr>
                <w:sz w:val="20"/>
                <w:szCs w:val="20"/>
                <w:lang w:val="en-US"/>
              </w:rPr>
              <w:t xml:space="preserve"> modal bank</w:t>
            </w:r>
          </w:p>
        </w:tc>
        <w:tc>
          <w:tcPr>
            <w:tcW w:w="1417" w:type="dxa"/>
            <w:tcBorders>
              <w:bottom w:val="nil"/>
            </w:tcBorders>
          </w:tcPr>
          <w:p w:rsidR="00816C00" w:rsidRPr="008A359D" w:rsidRDefault="00816C00" w:rsidP="00581DB9">
            <w:pPr>
              <w:pStyle w:val="ListParagraph"/>
              <w:ind w:left="0"/>
              <w:cnfStyle w:val="000000100000" w:firstRow="0" w:lastRow="0" w:firstColumn="0" w:lastColumn="0" w:oddVBand="0" w:evenVBand="0" w:oddHBand="1" w:evenHBand="0" w:firstRowFirstColumn="0" w:firstRowLastColumn="0" w:lastRowFirstColumn="0" w:lastRowLastColumn="0"/>
              <w:rPr>
                <w:sz w:val="20"/>
                <w:szCs w:val="20"/>
                <w:lang w:val="en-US"/>
              </w:rPr>
            </w:pPr>
            <w:r w:rsidRPr="008A359D">
              <w:rPr>
                <w:i/>
                <w:iCs/>
                <w:sz w:val="20"/>
                <w:szCs w:val="20"/>
                <w:lang w:val="en-US"/>
              </w:rPr>
              <w:t>CAR</w:t>
            </w:r>
            <w:r w:rsidRPr="008A359D">
              <w:rPr>
                <w:sz w:val="20"/>
                <w:szCs w:val="20"/>
                <w:lang w:val="en-US"/>
              </w:rPr>
              <w:t xml:space="preserve"> </w:t>
            </w:r>
          </w:p>
          <w:p w:rsidR="00816C00" w:rsidRPr="008A359D" w:rsidRDefault="00816C00" w:rsidP="00581DB9">
            <w:pPr>
              <w:pStyle w:val="ListParagraph"/>
              <w:ind w:left="0"/>
              <w:cnfStyle w:val="000000100000" w:firstRow="0" w:lastRow="0" w:firstColumn="0" w:lastColumn="0" w:oddVBand="0" w:evenVBand="0" w:oddHBand="1" w:evenHBand="0" w:firstRowFirstColumn="0" w:firstRowLastColumn="0" w:lastRowFirstColumn="0" w:lastRowLastColumn="0"/>
              <w:rPr>
                <w:sz w:val="20"/>
                <w:szCs w:val="20"/>
                <w:lang w:val="en-US"/>
              </w:rPr>
            </w:pPr>
            <w:r w:rsidRPr="008A359D">
              <w:rPr>
                <w:sz w:val="20"/>
                <w:szCs w:val="20"/>
                <w:lang w:val="en-US"/>
              </w:rPr>
              <w:t>(</w:t>
            </w:r>
            <w:r w:rsidRPr="008A359D">
              <w:rPr>
                <w:i/>
                <w:iCs/>
                <w:sz w:val="20"/>
                <w:szCs w:val="20"/>
                <w:lang w:val="en-US"/>
              </w:rPr>
              <w:t>Capital Adequacy Ratio</w:t>
            </w:r>
            <w:r w:rsidRPr="008A359D">
              <w:rPr>
                <w:sz w:val="20"/>
                <w:szCs w:val="20"/>
                <w:lang w:val="en-US"/>
              </w:rPr>
              <w:t>)</w:t>
            </w:r>
          </w:p>
        </w:tc>
        <w:tc>
          <w:tcPr>
            <w:tcW w:w="3544" w:type="dxa"/>
            <w:tcBorders>
              <w:bottom w:val="nil"/>
            </w:tcBorders>
          </w:tcPr>
          <w:p w:rsidR="00816C00" w:rsidRPr="008A359D" w:rsidRDefault="00816C00" w:rsidP="00581DB9">
            <w:pPr>
              <w:pStyle w:val="ListParagraph"/>
              <w:ind w:left="0"/>
              <w:cnfStyle w:val="000000100000" w:firstRow="0" w:lastRow="0" w:firstColumn="0" w:lastColumn="0" w:oddVBand="0" w:evenVBand="0" w:oddHBand="1" w:evenHBand="0" w:firstRowFirstColumn="0" w:firstRowLastColumn="0" w:lastRowFirstColumn="0" w:lastRowLastColumn="0"/>
              <w:rPr>
                <w:sz w:val="20"/>
                <w:szCs w:val="20"/>
                <w:lang w:val="en-US"/>
              </w:rPr>
            </w:pPr>
            <m:oMathPara>
              <m:oMathParaPr>
                <m:jc m:val="left"/>
              </m:oMathParaPr>
              <m:oMath>
                <m:r>
                  <w:rPr>
                    <w:rFonts w:ascii="Cambria Math" w:hAnsi="Cambria Math"/>
                    <w:sz w:val="20"/>
                    <w:szCs w:val="20"/>
                    <w:lang w:val="en-US"/>
                  </w:rPr>
                  <m:t>CAR</m:t>
                </m:r>
                <m:r>
                  <m:rPr>
                    <m:sty m:val="p"/>
                  </m:rPr>
                  <w:rPr>
                    <w:rFonts w:ascii="Cambria Math" w:hAnsi="Cambria Math"/>
                    <w:sz w:val="20"/>
                    <w:szCs w:val="20"/>
                    <w:lang w:val="en-US"/>
                  </w:rPr>
                  <m:t>=</m:t>
                </m:r>
                <m:f>
                  <m:fPr>
                    <m:ctrlPr>
                      <w:rPr>
                        <w:rFonts w:ascii="Cambria Math" w:hAnsi="Cambria Math"/>
                        <w:sz w:val="20"/>
                        <w:szCs w:val="20"/>
                        <w:lang w:val="en-US"/>
                      </w:rPr>
                    </m:ctrlPr>
                  </m:fPr>
                  <m:num>
                    <m:r>
                      <w:rPr>
                        <w:rFonts w:ascii="Cambria Math" w:hAnsi="Cambria Math"/>
                        <w:sz w:val="20"/>
                        <w:szCs w:val="20"/>
                        <w:lang w:val="en-US"/>
                      </w:rPr>
                      <m:t>Modal bank</m:t>
                    </m:r>
                  </m:num>
                  <m:den>
                    <m:r>
                      <m:rPr>
                        <m:sty m:val="p"/>
                      </m:rPr>
                      <w:rPr>
                        <w:rFonts w:ascii="Cambria Math" w:hAnsi="Cambria Math"/>
                        <w:sz w:val="20"/>
                        <w:szCs w:val="20"/>
                        <w:lang w:val="en-US"/>
                      </w:rPr>
                      <m:t>ATMR</m:t>
                    </m:r>
                  </m:den>
                </m:f>
                <m:r>
                  <w:rPr>
                    <w:rFonts w:ascii="Cambria Math" w:hAnsi="Cambria Math"/>
                    <w:sz w:val="20"/>
                    <w:szCs w:val="20"/>
                    <w:lang w:val="en-US"/>
                  </w:rPr>
                  <m:t>x 100%</m:t>
                </m:r>
              </m:oMath>
            </m:oMathPara>
          </w:p>
        </w:tc>
        <w:tc>
          <w:tcPr>
            <w:tcW w:w="851" w:type="dxa"/>
            <w:tcBorders>
              <w:bottom w:val="nil"/>
            </w:tcBorders>
          </w:tcPr>
          <w:p w:rsidR="00816C00" w:rsidRPr="008A359D" w:rsidRDefault="00816C00" w:rsidP="00581DB9">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8A359D">
              <w:rPr>
                <w:sz w:val="20"/>
                <w:szCs w:val="20"/>
              </w:rPr>
              <w:t>Rasio</w:t>
            </w:r>
          </w:p>
        </w:tc>
        <w:tc>
          <w:tcPr>
            <w:tcW w:w="996" w:type="dxa"/>
            <w:tcBorders>
              <w:bottom w:val="nil"/>
            </w:tcBorders>
          </w:tcPr>
          <w:p w:rsidR="00816C00" w:rsidRPr="008A359D" w:rsidRDefault="00816C00" w:rsidP="00581DB9">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8A359D">
              <w:rPr>
                <w:sz w:val="20"/>
                <w:szCs w:val="20"/>
              </w:rPr>
              <w:fldChar w:fldCharType="begin" w:fldLock="1"/>
            </w:r>
            <w:r w:rsidRPr="008A359D">
              <w:rPr>
                <w:sz w:val="20"/>
                <w:szCs w:val="20"/>
              </w:rPr>
              <w:instrText>ADDIN CSL_CITATION {"citationItems":[{"id":"ITEM-1","itemData":{"DOI":"10.37726/ee.v6i1.408","ISSN":"2599-2708","abstract":"Kondisi keuangan suatu lembaga keuangan sangat penting terjaga kesehatannya, sebagai salah satu cara untuk menjaga kepuasan nasabah dan menambah jumlah investor. Tujuan penelitian ini untuk mengetahui analisis penilaian tingkat kesehatan pada Bank Central Asia (BCA) Syariah berdasarkan metode CAMEL di PT. Bank BCA Syariah Periode 2015-2019. Penelitian ini menggunakan metode penelitian deskriptif kuantitatif. Sumber data yang diperlukan dalam penelitian ini yaitu dengan menggunakan data sekunder. Berdasarkan hasil pembahasan diatas dapat ditarik kesimpulan bahwa tingkat kesehatan BCA Syariah periode 2015-2019 berdasarkan Capital (permodalan) mendapatkan predikat “Sangat Sehat”. Karena nilai CAR yang didapatkan lebih besar dari 12% sesuai dengan ketentuan Bank Indonesia. Tingkat kesehatan BCA Syariah periode 2015-2019 berdasarkan Assets (Kualitas Aktiva Produktif) mendapatkan predikat “Sehat”, karena nilai KAP yang didapatkan dibawah 10,35%. Tingkat kesehatan BCA Syariah periode 2015-2019 berdasarkan Management (Manajemen) dengan menilai tingkat NPM (Net Profit Margin) mendapat predikat “Cukup Sehat”, karena nilai NPM yang didapatkan berada di kisaran 66%-80%. Tingkat kesehatan BCA Syariah periode 2015-2019 berdasarkan Earning (Rentabilitas) menggunakan dua rasio ROA dan BOPO. ROA tahun 2015-2019 mendapatkan kategori “Cukup Sehat”, karena nilai ROA yang didapatkan berada di kisaran 0,5%-1,24%. Sedangkan tingkat kesehatan rasio BOPO periode 2015-2019 berada pada predikat “Sangat Sehat”, karena nilai BOPO yang didapatkan lebih kecil dari 94%. Tingkat kesehatan BCA Syariah periode 2015-2019 berdasarkan Liquidity (Likuiditas) menggunakan rasio FDR (Finance to Deposit Ratio) didapatkan predikat “Cukup Sehat”, karena nilai FDR yang didapatkan berada dikisaran 85%-100%. Tingkat kesehatan BCA Syariah pada tahun 2015-2019 menggunakan metode CAMEL berada pada posisi “Cukup Sehat”. Dikarenakan nilai CAMEL yang diperoleh berada pada posisi kurang dari 81%, atau berada pada rentang 66%-80%. Artinya bank dinilai cukup mampu menghadapi pengaruh negatif yang signifikan dari perubahan kondisi bisnis, faktor eksternal lain tercermin dari peringkat faktor penilaian, antara lain profil risiko, penerapan tata kelola, rentabilitas, dan permodalan yang secara umum cukup baik.","author":[{"dropping-particle":"","family":"Purnama","given":"Yulia","non-dropping-particle":"","parse-names":false,"suffix":""}],"container-title":"EKSISBANK: Ekonomi Syariah dan Bisnis Perbankan","id":"ITEM-1","issue":"1","issued":{"date-parts":[["2022"]]},"page":"90-108","title":"Analisis Penilaian Tingkat Kesehatan Pada Bank Central Asia (BCA) Syariah Berdasarkan Metode Camel (Studi Kasus Pada PT Bank BCA Syariah Periode 2015-2019)","type":"article-journal","volume":"6"},"uris":["http://www.mendeley.com/documents/?uuid=bd8f13fa-f54d-44bc-907f-1105ac4e0da2"]}],"mendeley":{"formattedCitation":"[23]","plainTextFormattedCitation":"[23]","previouslyFormattedCitation":"[23]"},"properties":{"noteIndex":0},"schema":"https://github.com/citation-style-language/schema/raw/master/csl-citation.json"}</w:instrText>
            </w:r>
            <w:r w:rsidRPr="008A359D">
              <w:rPr>
                <w:sz w:val="20"/>
                <w:szCs w:val="20"/>
              </w:rPr>
              <w:fldChar w:fldCharType="separate"/>
            </w:r>
            <w:r w:rsidRPr="008A359D">
              <w:rPr>
                <w:noProof/>
                <w:sz w:val="20"/>
                <w:szCs w:val="20"/>
              </w:rPr>
              <w:t>[23]</w:t>
            </w:r>
            <w:r w:rsidRPr="008A359D">
              <w:rPr>
                <w:sz w:val="20"/>
                <w:szCs w:val="20"/>
              </w:rPr>
              <w:fldChar w:fldCharType="end"/>
            </w:r>
          </w:p>
        </w:tc>
      </w:tr>
      <w:tr w:rsidR="00816C00" w:rsidRPr="008A359D" w:rsidTr="005C03F6">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tcPr>
          <w:p w:rsidR="00816C00" w:rsidRPr="008A359D" w:rsidRDefault="00816C00" w:rsidP="00581DB9">
            <w:pPr>
              <w:pStyle w:val="ListParagraph"/>
              <w:ind w:left="0"/>
              <w:rPr>
                <w:b w:val="0"/>
                <w:bCs w:val="0"/>
                <w:i/>
                <w:iCs/>
                <w:sz w:val="20"/>
                <w:szCs w:val="20"/>
                <w:lang w:val="en-US"/>
              </w:rPr>
            </w:pPr>
            <w:r w:rsidRPr="008A359D">
              <w:rPr>
                <w:b w:val="0"/>
                <w:bCs w:val="0"/>
                <w:i/>
                <w:iCs/>
                <w:sz w:val="20"/>
                <w:szCs w:val="20"/>
                <w:lang w:val="en-US"/>
              </w:rPr>
              <w:t>Assets</w:t>
            </w:r>
          </w:p>
        </w:tc>
        <w:tc>
          <w:tcPr>
            <w:tcW w:w="1276" w:type="dxa"/>
            <w:tcBorders>
              <w:top w:val="nil"/>
              <w:bottom w:val="nil"/>
            </w:tcBorders>
          </w:tcPr>
          <w:p w:rsidR="00816C00" w:rsidRPr="008A359D" w:rsidRDefault="00816C00" w:rsidP="00581DB9">
            <w:pPr>
              <w:pStyle w:val="ListParagraph"/>
              <w:ind w:left="0"/>
              <w:cnfStyle w:val="000000000000" w:firstRow="0" w:lastRow="0" w:firstColumn="0" w:lastColumn="0" w:oddVBand="0" w:evenVBand="0" w:oddHBand="0" w:evenHBand="0" w:firstRowFirstColumn="0" w:firstRowLastColumn="0" w:lastRowFirstColumn="0" w:lastRowLastColumn="0"/>
              <w:rPr>
                <w:sz w:val="20"/>
                <w:szCs w:val="20"/>
                <w:lang w:val="en-US"/>
              </w:rPr>
            </w:pPr>
            <w:proofErr w:type="spellStart"/>
            <w:r w:rsidRPr="008A359D">
              <w:rPr>
                <w:sz w:val="20"/>
                <w:szCs w:val="20"/>
                <w:lang w:val="en-US"/>
              </w:rPr>
              <w:t>Penilaian</w:t>
            </w:r>
            <w:proofErr w:type="spellEnd"/>
            <w:r w:rsidRPr="008A359D">
              <w:rPr>
                <w:sz w:val="20"/>
                <w:szCs w:val="20"/>
                <w:lang w:val="en-US"/>
              </w:rPr>
              <w:t xml:space="preserve"> </w:t>
            </w:r>
            <w:proofErr w:type="spellStart"/>
            <w:r w:rsidRPr="008A359D">
              <w:rPr>
                <w:sz w:val="20"/>
                <w:szCs w:val="20"/>
                <w:lang w:val="en-US"/>
              </w:rPr>
              <w:t>terhadap</w:t>
            </w:r>
            <w:proofErr w:type="spellEnd"/>
            <w:r w:rsidRPr="008A359D">
              <w:rPr>
                <w:sz w:val="20"/>
                <w:szCs w:val="20"/>
                <w:lang w:val="en-US"/>
              </w:rPr>
              <w:t xml:space="preserve"> </w:t>
            </w:r>
            <w:proofErr w:type="spellStart"/>
            <w:r w:rsidRPr="008A359D">
              <w:rPr>
                <w:sz w:val="20"/>
                <w:szCs w:val="20"/>
                <w:lang w:val="en-US"/>
              </w:rPr>
              <w:t>aset</w:t>
            </w:r>
            <w:proofErr w:type="spellEnd"/>
            <w:r w:rsidRPr="008A359D">
              <w:rPr>
                <w:sz w:val="20"/>
                <w:szCs w:val="20"/>
                <w:lang w:val="en-US"/>
              </w:rPr>
              <w:t xml:space="preserve"> bank</w:t>
            </w:r>
          </w:p>
          <w:p w:rsidR="00816C00" w:rsidRPr="008A359D" w:rsidRDefault="00816C00" w:rsidP="00581DB9">
            <w:pPr>
              <w:pStyle w:val="ListParagraph"/>
              <w:ind w:left="0"/>
              <w:cnfStyle w:val="000000000000" w:firstRow="0" w:lastRow="0" w:firstColumn="0" w:lastColumn="0" w:oddVBand="0" w:evenVBand="0" w:oddHBand="0" w:evenHBand="0" w:firstRowFirstColumn="0" w:firstRowLastColumn="0" w:lastRowFirstColumn="0" w:lastRowLastColumn="0"/>
              <w:rPr>
                <w:sz w:val="6"/>
                <w:szCs w:val="6"/>
                <w:lang w:val="en-US"/>
              </w:rPr>
            </w:pPr>
          </w:p>
        </w:tc>
        <w:tc>
          <w:tcPr>
            <w:tcW w:w="1417" w:type="dxa"/>
            <w:tcBorders>
              <w:top w:val="nil"/>
              <w:bottom w:val="nil"/>
            </w:tcBorders>
          </w:tcPr>
          <w:p w:rsidR="00816C00" w:rsidRPr="008A359D" w:rsidRDefault="00816C00" w:rsidP="00581DB9">
            <w:pPr>
              <w:pStyle w:val="ListParagraph"/>
              <w:ind w:left="0"/>
              <w:cnfStyle w:val="000000000000" w:firstRow="0" w:lastRow="0" w:firstColumn="0" w:lastColumn="0" w:oddVBand="0" w:evenVBand="0" w:oddHBand="0" w:evenHBand="0" w:firstRowFirstColumn="0" w:firstRowLastColumn="0" w:lastRowFirstColumn="0" w:lastRowLastColumn="0"/>
              <w:rPr>
                <w:sz w:val="20"/>
                <w:szCs w:val="20"/>
                <w:lang w:val="en-US"/>
              </w:rPr>
            </w:pPr>
            <w:r w:rsidRPr="008A359D">
              <w:rPr>
                <w:i/>
                <w:iCs/>
                <w:sz w:val="20"/>
                <w:szCs w:val="20"/>
                <w:lang w:val="en-US"/>
              </w:rPr>
              <w:t>ROA</w:t>
            </w:r>
            <w:r w:rsidRPr="008A359D">
              <w:rPr>
                <w:sz w:val="20"/>
                <w:szCs w:val="20"/>
                <w:lang w:val="en-US"/>
              </w:rPr>
              <w:t xml:space="preserve"> </w:t>
            </w:r>
          </w:p>
          <w:p w:rsidR="00816C00" w:rsidRPr="008A359D" w:rsidRDefault="00816C00" w:rsidP="00581DB9">
            <w:pPr>
              <w:pStyle w:val="ListParagraph"/>
              <w:ind w:left="0"/>
              <w:cnfStyle w:val="000000000000" w:firstRow="0" w:lastRow="0" w:firstColumn="0" w:lastColumn="0" w:oddVBand="0" w:evenVBand="0" w:oddHBand="0" w:evenHBand="0" w:firstRowFirstColumn="0" w:firstRowLastColumn="0" w:lastRowFirstColumn="0" w:lastRowLastColumn="0"/>
              <w:rPr>
                <w:sz w:val="20"/>
                <w:szCs w:val="20"/>
                <w:lang w:val="en-US"/>
              </w:rPr>
            </w:pPr>
            <w:r w:rsidRPr="008A359D">
              <w:rPr>
                <w:sz w:val="20"/>
                <w:szCs w:val="20"/>
                <w:lang w:val="en-US"/>
              </w:rPr>
              <w:t>(</w:t>
            </w:r>
            <w:r w:rsidRPr="008A359D">
              <w:rPr>
                <w:i/>
                <w:iCs/>
                <w:sz w:val="20"/>
                <w:szCs w:val="20"/>
                <w:lang w:val="en-US"/>
              </w:rPr>
              <w:t>Return On Asset</w:t>
            </w:r>
            <w:r w:rsidRPr="008A359D">
              <w:rPr>
                <w:sz w:val="20"/>
                <w:szCs w:val="20"/>
                <w:lang w:val="en-US"/>
              </w:rPr>
              <w:t>)</w:t>
            </w:r>
          </w:p>
        </w:tc>
        <w:tc>
          <w:tcPr>
            <w:tcW w:w="3544" w:type="dxa"/>
            <w:tcBorders>
              <w:top w:val="nil"/>
              <w:bottom w:val="nil"/>
            </w:tcBorders>
          </w:tcPr>
          <w:p w:rsidR="00816C00" w:rsidRPr="008A359D" w:rsidRDefault="00816C00" w:rsidP="00581DB9">
            <w:pPr>
              <w:pStyle w:val="ListParagraph"/>
              <w:ind w:left="0"/>
              <w:cnfStyle w:val="000000000000" w:firstRow="0" w:lastRow="0" w:firstColumn="0" w:lastColumn="0" w:oddVBand="0" w:evenVBand="0" w:oddHBand="0" w:evenHBand="0" w:firstRowFirstColumn="0" w:firstRowLastColumn="0" w:lastRowFirstColumn="0" w:lastRowLastColumn="0"/>
              <w:rPr>
                <w:sz w:val="20"/>
                <w:szCs w:val="20"/>
                <w:lang w:val="en-US"/>
              </w:rPr>
            </w:pPr>
            <m:oMathPara>
              <m:oMath>
                <m:r>
                  <w:rPr>
                    <w:rFonts w:ascii="Cambria Math" w:hAnsi="Cambria Math"/>
                    <w:sz w:val="20"/>
                    <w:szCs w:val="20"/>
                    <w:lang w:val="en-US"/>
                  </w:rPr>
                  <m:t>ROA</m:t>
                </m:r>
                <m:r>
                  <m:rPr>
                    <m:sty m:val="p"/>
                  </m:rPr>
                  <w:rPr>
                    <w:rFonts w:ascii="Cambria Math" w:hAnsi="Cambria Math"/>
                    <w:sz w:val="20"/>
                    <w:szCs w:val="20"/>
                    <w:lang w:val="en-US"/>
                  </w:rPr>
                  <m:t>=</m:t>
                </m:r>
                <m:f>
                  <m:fPr>
                    <m:ctrlPr>
                      <w:rPr>
                        <w:rFonts w:ascii="Cambria Math" w:hAnsi="Cambria Math"/>
                        <w:sz w:val="20"/>
                        <w:szCs w:val="20"/>
                        <w:lang w:val="en-US"/>
                      </w:rPr>
                    </m:ctrlPr>
                  </m:fPr>
                  <m:num>
                    <m:r>
                      <w:rPr>
                        <w:rFonts w:ascii="Cambria Math" w:hAnsi="Cambria Math"/>
                        <w:sz w:val="20"/>
                        <w:szCs w:val="20"/>
                        <w:lang w:val="en-US"/>
                      </w:rPr>
                      <m:t>Laba Bersih Sebelum Pajak</m:t>
                    </m:r>
                  </m:num>
                  <m:den>
                    <m:r>
                      <w:rPr>
                        <w:rFonts w:ascii="Cambria Math" w:hAnsi="Cambria Math"/>
                        <w:sz w:val="20"/>
                        <w:szCs w:val="20"/>
                        <w:lang w:val="en-US"/>
                      </w:rPr>
                      <m:t>Total Aset</m:t>
                    </m:r>
                  </m:den>
                </m:f>
                <m:r>
                  <w:rPr>
                    <w:rFonts w:ascii="Cambria Math" w:hAnsi="Cambria Math"/>
                    <w:sz w:val="20"/>
                    <w:szCs w:val="20"/>
                    <w:lang w:val="en-US"/>
                  </w:rPr>
                  <m:t>x 100%</m:t>
                </m:r>
              </m:oMath>
            </m:oMathPara>
          </w:p>
        </w:tc>
        <w:tc>
          <w:tcPr>
            <w:tcW w:w="851" w:type="dxa"/>
            <w:tcBorders>
              <w:top w:val="nil"/>
              <w:bottom w:val="nil"/>
            </w:tcBorders>
          </w:tcPr>
          <w:p w:rsidR="00816C00" w:rsidRPr="008A359D" w:rsidRDefault="00816C00" w:rsidP="00581DB9">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8A359D">
              <w:rPr>
                <w:sz w:val="20"/>
                <w:szCs w:val="20"/>
              </w:rPr>
              <w:t>Rasio</w:t>
            </w:r>
          </w:p>
        </w:tc>
        <w:tc>
          <w:tcPr>
            <w:tcW w:w="996" w:type="dxa"/>
            <w:tcBorders>
              <w:top w:val="nil"/>
              <w:bottom w:val="nil"/>
            </w:tcBorders>
          </w:tcPr>
          <w:p w:rsidR="00816C00" w:rsidRPr="008A359D" w:rsidRDefault="00816C00" w:rsidP="00581DB9">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8A359D">
              <w:rPr>
                <w:sz w:val="20"/>
                <w:szCs w:val="20"/>
              </w:rPr>
              <w:fldChar w:fldCharType="begin" w:fldLock="1"/>
            </w:r>
            <w:r w:rsidRPr="008A359D">
              <w:rPr>
                <w:sz w:val="20"/>
                <w:szCs w:val="20"/>
              </w:rPr>
              <w:instrText>ADDIN CSL_CITATION {"citationItems":[{"id":"ITEM-1","itemData":{"DOI":"10.37726/ee.v6i1.408","ISSN":"2599-2708","abstract":"Kondisi keuangan suatu lembaga keuangan sangat penting terjaga kesehatannya, sebagai salah satu cara untuk menjaga kepuasan nasabah dan menambah jumlah investor. Tujuan penelitian ini untuk mengetahui analisis penilaian tingkat kesehatan pada Bank Central Asia (BCA) Syariah berdasarkan metode CAMEL di PT. Bank BCA Syariah Periode 2015-2019. Penelitian ini menggunakan metode penelitian deskriptif kuantitatif. Sumber data yang diperlukan dalam penelitian ini yaitu dengan menggunakan data sekunder. Berdasarkan hasil pembahasan diatas dapat ditarik kesimpulan bahwa tingkat kesehatan BCA Syariah periode 2015-2019 berdasarkan Capital (permodalan) mendapatkan predikat “Sangat Sehat”. Karena nilai CAR yang didapatkan lebih besar dari 12% sesuai dengan ketentuan Bank Indonesia. Tingkat kesehatan BCA Syariah periode 2015-2019 berdasarkan Assets (Kualitas Aktiva Produktif) mendapatkan predikat “Sehat”, karena nilai KAP yang didapatkan dibawah 10,35%. Tingkat kesehatan BCA Syariah periode 2015-2019 berdasarkan Management (Manajemen) dengan menilai tingkat NPM (Net Profit Margin) mendapat predikat “Cukup Sehat”, karena nilai NPM yang didapatkan berada di kisaran 66%-80%. Tingkat kesehatan BCA Syariah periode 2015-2019 berdasarkan Earning (Rentabilitas) menggunakan dua rasio ROA dan BOPO. ROA tahun 2015-2019 mendapatkan kategori “Cukup Sehat”, karena nilai ROA yang didapatkan berada di kisaran 0,5%-1,24%. Sedangkan tingkat kesehatan rasio BOPO periode 2015-2019 berada pada predikat “Sangat Sehat”, karena nilai BOPO yang didapatkan lebih kecil dari 94%. Tingkat kesehatan BCA Syariah periode 2015-2019 berdasarkan Liquidity (Likuiditas) menggunakan rasio FDR (Finance to Deposit Ratio) didapatkan predikat “Cukup Sehat”, karena nilai FDR yang didapatkan berada dikisaran 85%-100%. Tingkat kesehatan BCA Syariah pada tahun 2015-2019 menggunakan metode CAMEL berada pada posisi “Cukup Sehat”. Dikarenakan nilai CAMEL yang diperoleh berada pada posisi kurang dari 81%, atau berada pada rentang 66%-80%. Artinya bank dinilai cukup mampu menghadapi pengaruh negatif yang signifikan dari perubahan kondisi bisnis, faktor eksternal lain tercermin dari peringkat faktor penilaian, antara lain profil risiko, penerapan tata kelola, rentabilitas, dan permodalan yang secara umum cukup baik.","author":[{"dropping-particle":"","family":"Purnama","given":"Yulia","non-dropping-particle":"","parse-names":false,"suffix":""}],"container-title":"EKSISBANK: Ekonomi Syariah dan Bisnis Perbankan","id":"ITEM-1","issue":"1","issued":{"date-parts":[["2022"]]},"page":"90-108","title":"Analisis Penilaian Tingkat Kesehatan Pada Bank Central Asia (BCA) Syariah Berdasarkan Metode Camel (Studi Kasus Pada PT Bank BCA Syariah Periode 2015-2019)","type":"article-journal","volume":"6"},"uris":["http://www.mendeley.com/documents/?uuid=bd8f13fa-f54d-44bc-907f-1105ac4e0da2"]}],"mendeley":{"formattedCitation":"[23]","plainTextFormattedCitation":"[23]","previouslyFormattedCitation":"[23]"},"properties":{"noteIndex":0},"schema":"https://github.com/citation-style-language/schema/raw/master/csl-citation.json"}</w:instrText>
            </w:r>
            <w:r w:rsidRPr="008A359D">
              <w:rPr>
                <w:sz w:val="20"/>
                <w:szCs w:val="20"/>
              </w:rPr>
              <w:fldChar w:fldCharType="separate"/>
            </w:r>
            <w:r w:rsidRPr="008A359D">
              <w:rPr>
                <w:noProof/>
                <w:sz w:val="20"/>
                <w:szCs w:val="20"/>
              </w:rPr>
              <w:t>[23]</w:t>
            </w:r>
            <w:r w:rsidRPr="008A359D">
              <w:rPr>
                <w:sz w:val="20"/>
                <w:szCs w:val="20"/>
              </w:rPr>
              <w:fldChar w:fldCharType="end"/>
            </w:r>
          </w:p>
        </w:tc>
      </w:tr>
      <w:tr w:rsidR="00816C00" w:rsidRPr="008A359D" w:rsidTr="005C0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tcPr>
          <w:p w:rsidR="00816C00" w:rsidRPr="008A359D" w:rsidRDefault="00816C00" w:rsidP="00581DB9">
            <w:pPr>
              <w:pStyle w:val="ListParagraph"/>
              <w:ind w:left="0"/>
              <w:rPr>
                <w:b w:val="0"/>
                <w:bCs w:val="0"/>
                <w:i/>
                <w:iCs/>
                <w:sz w:val="20"/>
                <w:szCs w:val="20"/>
                <w:lang w:val="en-US"/>
              </w:rPr>
            </w:pPr>
            <w:r w:rsidRPr="008A359D">
              <w:rPr>
                <w:b w:val="0"/>
                <w:bCs w:val="0"/>
                <w:i/>
                <w:iCs/>
                <w:sz w:val="20"/>
                <w:szCs w:val="20"/>
                <w:lang w:val="en-US"/>
              </w:rPr>
              <w:t>Management</w:t>
            </w:r>
          </w:p>
        </w:tc>
        <w:tc>
          <w:tcPr>
            <w:tcW w:w="1276" w:type="dxa"/>
            <w:tcBorders>
              <w:top w:val="nil"/>
              <w:bottom w:val="nil"/>
            </w:tcBorders>
          </w:tcPr>
          <w:p w:rsidR="00816C00" w:rsidRPr="008A359D" w:rsidRDefault="00816C00" w:rsidP="00581DB9">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8A359D">
              <w:rPr>
                <w:sz w:val="20"/>
                <w:szCs w:val="20"/>
                <w:lang w:val="en-US"/>
              </w:rPr>
              <w:t>Penilaian</w:t>
            </w:r>
            <w:proofErr w:type="spellEnd"/>
            <w:r w:rsidRPr="008A359D">
              <w:rPr>
                <w:sz w:val="20"/>
                <w:szCs w:val="20"/>
                <w:lang w:val="en-US"/>
              </w:rPr>
              <w:t xml:space="preserve"> </w:t>
            </w:r>
            <w:proofErr w:type="spellStart"/>
            <w:r w:rsidRPr="008A359D">
              <w:rPr>
                <w:sz w:val="20"/>
                <w:szCs w:val="20"/>
                <w:lang w:val="en-US"/>
              </w:rPr>
              <w:t>terhadap</w:t>
            </w:r>
            <w:proofErr w:type="spellEnd"/>
            <w:r w:rsidRPr="008A359D">
              <w:rPr>
                <w:sz w:val="20"/>
                <w:szCs w:val="20"/>
                <w:lang w:val="en-US"/>
              </w:rPr>
              <w:t xml:space="preserve"> management bank</w:t>
            </w:r>
          </w:p>
        </w:tc>
        <w:tc>
          <w:tcPr>
            <w:tcW w:w="1417" w:type="dxa"/>
            <w:tcBorders>
              <w:top w:val="nil"/>
              <w:bottom w:val="nil"/>
            </w:tcBorders>
          </w:tcPr>
          <w:p w:rsidR="00816C00" w:rsidRPr="008A359D" w:rsidRDefault="00816C00" w:rsidP="00581DB9">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8A359D">
              <w:rPr>
                <w:i/>
                <w:iCs/>
                <w:sz w:val="20"/>
                <w:szCs w:val="20"/>
              </w:rPr>
              <w:t>NPM</w:t>
            </w:r>
            <w:r w:rsidRPr="008A359D">
              <w:rPr>
                <w:sz w:val="20"/>
                <w:szCs w:val="20"/>
              </w:rPr>
              <w:t xml:space="preserve"> </w:t>
            </w:r>
          </w:p>
          <w:p w:rsidR="00816C00" w:rsidRPr="008A359D" w:rsidRDefault="00816C00" w:rsidP="00581DB9">
            <w:pPr>
              <w:pStyle w:val="ListParagraph"/>
              <w:ind w:left="0"/>
              <w:cnfStyle w:val="000000100000" w:firstRow="0" w:lastRow="0" w:firstColumn="0" w:lastColumn="0" w:oddVBand="0" w:evenVBand="0" w:oddHBand="1" w:evenHBand="0" w:firstRowFirstColumn="0" w:firstRowLastColumn="0" w:lastRowFirstColumn="0" w:lastRowLastColumn="0"/>
              <w:rPr>
                <w:sz w:val="20"/>
                <w:szCs w:val="20"/>
                <w:lang w:val="en-US"/>
              </w:rPr>
            </w:pPr>
            <w:r w:rsidRPr="008A359D">
              <w:rPr>
                <w:sz w:val="20"/>
                <w:szCs w:val="20"/>
              </w:rPr>
              <w:t>(</w:t>
            </w:r>
            <w:r w:rsidRPr="008A359D">
              <w:rPr>
                <w:i/>
                <w:iCs/>
                <w:sz w:val="20"/>
                <w:szCs w:val="20"/>
              </w:rPr>
              <w:t>Net Profit Margin</w:t>
            </w:r>
            <w:r w:rsidRPr="008A359D">
              <w:rPr>
                <w:sz w:val="20"/>
                <w:szCs w:val="20"/>
              </w:rPr>
              <w:t>)</w:t>
            </w:r>
          </w:p>
        </w:tc>
        <w:tc>
          <w:tcPr>
            <w:tcW w:w="3544" w:type="dxa"/>
            <w:tcBorders>
              <w:top w:val="nil"/>
              <w:bottom w:val="nil"/>
            </w:tcBorders>
          </w:tcPr>
          <w:p w:rsidR="00816C00" w:rsidRPr="008A359D" w:rsidRDefault="00816C00" w:rsidP="00581DB9">
            <w:pPr>
              <w:pStyle w:val="ListParagraph"/>
              <w:ind w:left="0"/>
              <w:cnfStyle w:val="000000100000" w:firstRow="0" w:lastRow="0" w:firstColumn="0" w:lastColumn="0" w:oddVBand="0" w:evenVBand="0" w:oddHBand="1" w:evenHBand="0" w:firstRowFirstColumn="0" w:firstRowLastColumn="0" w:lastRowFirstColumn="0" w:lastRowLastColumn="0"/>
              <w:rPr>
                <w:sz w:val="20"/>
                <w:szCs w:val="20"/>
                <w:lang w:val="en-US"/>
              </w:rPr>
            </w:pPr>
            <m:oMathPara>
              <m:oMathParaPr>
                <m:jc m:val="left"/>
              </m:oMathParaPr>
              <m:oMath>
                <m:r>
                  <w:rPr>
                    <w:rFonts w:ascii="Cambria Math" w:hAnsi="Cambria Math"/>
                    <w:sz w:val="20"/>
                    <w:szCs w:val="20"/>
                    <w:lang w:val="en-US"/>
                  </w:rPr>
                  <m:t>NPM</m:t>
                </m:r>
                <m:r>
                  <m:rPr>
                    <m:sty m:val="p"/>
                  </m:rPr>
                  <w:rPr>
                    <w:rFonts w:ascii="Cambria Math" w:hAnsi="Cambria Math"/>
                    <w:sz w:val="20"/>
                    <w:szCs w:val="20"/>
                    <w:lang w:val="en-US"/>
                  </w:rPr>
                  <m:t>=</m:t>
                </m:r>
                <m:f>
                  <m:fPr>
                    <m:ctrlPr>
                      <w:rPr>
                        <w:rFonts w:ascii="Cambria Math" w:hAnsi="Cambria Math"/>
                        <w:sz w:val="20"/>
                        <w:szCs w:val="20"/>
                        <w:lang w:val="en-US"/>
                      </w:rPr>
                    </m:ctrlPr>
                  </m:fPr>
                  <m:num>
                    <m:r>
                      <w:rPr>
                        <w:rFonts w:ascii="Cambria Math" w:hAnsi="Cambria Math"/>
                        <w:sz w:val="20"/>
                        <w:szCs w:val="20"/>
                        <w:lang w:val="en-US"/>
                      </w:rPr>
                      <m:t>Laba Bersih</m:t>
                    </m:r>
                  </m:num>
                  <m:den>
                    <m:r>
                      <w:rPr>
                        <w:rFonts w:ascii="Cambria Math" w:hAnsi="Cambria Math"/>
                        <w:sz w:val="20"/>
                        <w:szCs w:val="20"/>
                        <w:lang w:val="en-US"/>
                      </w:rPr>
                      <m:t>Pendapatan Bersih</m:t>
                    </m:r>
                  </m:den>
                </m:f>
                <m:r>
                  <w:rPr>
                    <w:rFonts w:ascii="Cambria Math" w:hAnsi="Cambria Math"/>
                    <w:sz w:val="20"/>
                    <w:szCs w:val="20"/>
                    <w:lang w:val="en-US"/>
                  </w:rPr>
                  <m:t>x 100%</m:t>
                </m:r>
              </m:oMath>
            </m:oMathPara>
          </w:p>
        </w:tc>
        <w:tc>
          <w:tcPr>
            <w:tcW w:w="851" w:type="dxa"/>
            <w:tcBorders>
              <w:top w:val="nil"/>
              <w:bottom w:val="nil"/>
            </w:tcBorders>
          </w:tcPr>
          <w:p w:rsidR="00816C00" w:rsidRPr="008A359D" w:rsidRDefault="00816C00" w:rsidP="00581DB9">
            <w:pPr>
              <w:pStyle w:val="ListParagraph"/>
              <w:ind w:left="0"/>
              <w:jc w:val="center"/>
              <w:cnfStyle w:val="000000100000" w:firstRow="0" w:lastRow="0" w:firstColumn="0" w:lastColumn="0" w:oddVBand="0" w:evenVBand="0" w:oddHBand="1" w:evenHBand="0" w:firstRowFirstColumn="0" w:firstRowLastColumn="0" w:lastRowFirstColumn="0" w:lastRowLastColumn="0"/>
              <w:rPr>
                <w:iCs/>
                <w:sz w:val="20"/>
                <w:szCs w:val="20"/>
                <w:lang w:val="en-US"/>
              </w:rPr>
            </w:pPr>
            <w:r w:rsidRPr="008A359D">
              <w:rPr>
                <w:iCs/>
                <w:sz w:val="20"/>
                <w:szCs w:val="20"/>
              </w:rPr>
              <w:t>Rasio</w:t>
            </w:r>
          </w:p>
        </w:tc>
        <w:tc>
          <w:tcPr>
            <w:tcW w:w="996" w:type="dxa"/>
            <w:tcBorders>
              <w:top w:val="nil"/>
              <w:bottom w:val="nil"/>
            </w:tcBorders>
          </w:tcPr>
          <w:p w:rsidR="00816C00" w:rsidRPr="008A359D" w:rsidRDefault="00816C00" w:rsidP="00581DB9">
            <w:pPr>
              <w:pStyle w:val="ListParagraph"/>
              <w:ind w:left="0"/>
              <w:jc w:val="center"/>
              <w:cnfStyle w:val="000000100000" w:firstRow="0" w:lastRow="0" w:firstColumn="0" w:lastColumn="0" w:oddVBand="0" w:evenVBand="0" w:oddHBand="1" w:evenHBand="0" w:firstRowFirstColumn="0" w:firstRowLastColumn="0" w:lastRowFirstColumn="0" w:lastRowLastColumn="0"/>
              <w:rPr>
                <w:iCs/>
                <w:sz w:val="20"/>
                <w:szCs w:val="20"/>
              </w:rPr>
            </w:pPr>
            <w:r w:rsidRPr="008A359D">
              <w:rPr>
                <w:iCs/>
                <w:sz w:val="20"/>
                <w:szCs w:val="20"/>
              </w:rPr>
              <w:fldChar w:fldCharType="begin" w:fldLock="1"/>
            </w:r>
            <w:r w:rsidRPr="008A359D">
              <w:rPr>
                <w:iCs/>
                <w:sz w:val="20"/>
                <w:szCs w:val="20"/>
              </w:rPr>
              <w:instrText>ADDIN CSL_CITATION {"citationItems":[{"id":"ITEM-1","itemData":{"DOI":"10.37726/ee.v6i1.408","ISSN":"2599-2708","abstract":"Kondisi keuangan suatu lembaga keuangan sangat penting terjaga kesehatannya, sebagai salah satu cara untuk menjaga kepuasan nasabah dan menambah jumlah investor. Tujuan penelitian ini untuk mengetahui analisis penilaian tingkat kesehatan pada Bank Central Asia (BCA) Syariah berdasarkan metode CAMEL di PT. Bank BCA Syariah Periode 2015-2019. Penelitian ini menggunakan metode penelitian deskriptif kuantitatif. Sumber data yang diperlukan dalam penelitian ini yaitu dengan menggunakan data sekunder. Berdasarkan hasil pembahasan diatas dapat ditarik kesimpulan bahwa tingkat kesehatan BCA Syariah periode 2015-2019 berdasarkan Capital (permodalan) mendapatkan predikat “Sangat Sehat”. Karena nilai CAR yang didapatkan lebih besar dari 12% sesuai dengan ketentuan Bank Indonesia. Tingkat kesehatan BCA Syariah periode 2015-2019 berdasarkan Assets (Kualitas Aktiva Produktif) mendapatkan predikat “Sehat”, karena nilai KAP yang didapatkan dibawah 10,35%. Tingkat kesehatan BCA Syariah periode 2015-2019 berdasarkan Management (Manajemen) dengan menilai tingkat NPM (Net Profit Margin) mendapat predikat “Cukup Sehat”, karena nilai NPM yang didapatkan berada di kisaran 66%-80%. Tingkat kesehatan BCA Syariah periode 2015-2019 berdasarkan Earning (Rentabilitas) menggunakan dua rasio ROA dan BOPO. ROA tahun 2015-2019 mendapatkan kategori “Cukup Sehat”, karena nilai ROA yang didapatkan berada di kisaran 0,5%-1,24%. Sedangkan tingkat kesehatan rasio BOPO periode 2015-2019 berada pada predikat “Sangat Sehat”, karena nilai BOPO yang didapatkan lebih kecil dari 94%. Tingkat kesehatan BCA Syariah periode 2015-2019 berdasarkan Liquidity (Likuiditas) menggunakan rasio FDR (Finance to Deposit Ratio) didapatkan predikat “Cukup Sehat”, karena nilai FDR yang didapatkan berada dikisaran 85%-100%. Tingkat kesehatan BCA Syariah pada tahun 2015-2019 menggunakan metode CAMEL berada pada posisi “Cukup Sehat”. Dikarenakan nilai CAMEL yang diperoleh berada pada posisi kurang dari 81%, atau berada pada rentang 66%-80%. Artinya bank dinilai cukup mampu menghadapi pengaruh negatif yang signifikan dari perubahan kondisi bisnis, faktor eksternal lain tercermin dari peringkat faktor penilaian, antara lain profil risiko, penerapan tata kelola, rentabilitas, dan permodalan yang secara umum cukup baik.","author":[{"dropping-particle":"","family":"Purnama","given":"Yulia","non-dropping-particle":"","parse-names":false,"suffix":""}],"container-title":"EKSISBANK: Ekonomi Syariah dan Bisnis Perbankan","id":"ITEM-1","issue":"1","issued":{"date-parts":[["2022"]]},"page":"90-108","title":"Analisis Penilaian Tingkat Kesehatan Pada Bank Central Asia (BCA) Syariah Berdasarkan Metode Camel (Studi Kasus Pada PT Bank BCA Syariah Periode 2015-2019)","type":"article-journal","volume":"6"},"uris":["http://www.mendeley.com/documents/?uuid=bd8f13fa-f54d-44bc-907f-1105ac4e0da2"]}],"mendeley":{"formattedCitation":"[23]","plainTextFormattedCitation":"[23]","previouslyFormattedCitation":"[23]"},"properties":{"noteIndex":0},"schema":"https://github.com/citation-style-language/schema/raw/master/csl-citation.json"}</w:instrText>
            </w:r>
            <w:r w:rsidRPr="008A359D">
              <w:rPr>
                <w:iCs/>
                <w:sz w:val="20"/>
                <w:szCs w:val="20"/>
              </w:rPr>
              <w:fldChar w:fldCharType="separate"/>
            </w:r>
            <w:r w:rsidRPr="008A359D">
              <w:rPr>
                <w:iCs/>
                <w:noProof/>
                <w:sz w:val="20"/>
                <w:szCs w:val="20"/>
              </w:rPr>
              <w:t>[23]</w:t>
            </w:r>
            <w:r w:rsidRPr="008A359D">
              <w:rPr>
                <w:iCs/>
                <w:sz w:val="20"/>
                <w:szCs w:val="20"/>
              </w:rPr>
              <w:fldChar w:fldCharType="end"/>
            </w:r>
          </w:p>
        </w:tc>
      </w:tr>
      <w:tr w:rsidR="00816C00" w:rsidRPr="008A359D" w:rsidTr="005C03F6">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tcPr>
          <w:p w:rsidR="00816C00" w:rsidRPr="008A359D" w:rsidRDefault="00816C00" w:rsidP="00581DB9">
            <w:pPr>
              <w:pStyle w:val="ListParagraph"/>
              <w:ind w:left="0"/>
              <w:rPr>
                <w:b w:val="0"/>
                <w:bCs w:val="0"/>
                <w:i/>
                <w:iCs/>
                <w:sz w:val="20"/>
                <w:szCs w:val="20"/>
                <w:lang w:val="en-US"/>
              </w:rPr>
            </w:pPr>
            <w:r w:rsidRPr="008A359D">
              <w:rPr>
                <w:b w:val="0"/>
                <w:bCs w:val="0"/>
                <w:i/>
                <w:iCs/>
                <w:sz w:val="20"/>
                <w:szCs w:val="20"/>
                <w:lang w:val="en-US"/>
              </w:rPr>
              <w:t>Earning</w:t>
            </w:r>
          </w:p>
        </w:tc>
        <w:tc>
          <w:tcPr>
            <w:tcW w:w="1276" w:type="dxa"/>
            <w:tcBorders>
              <w:top w:val="nil"/>
              <w:bottom w:val="nil"/>
            </w:tcBorders>
          </w:tcPr>
          <w:p w:rsidR="00816C00" w:rsidRPr="008A359D" w:rsidRDefault="00816C00" w:rsidP="00581DB9">
            <w:pPr>
              <w:pStyle w:val="ListParagraph"/>
              <w:ind w:left="0"/>
              <w:cnfStyle w:val="000000000000" w:firstRow="0" w:lastRow="0" w:firstColumn="0" w:lastColumn="0" w:oddVBand="0" w:evenVBand="0" w:oddHBand="0" w:evenHBand="0" w:firstRowFirstColumn="0" w:firstRowLastColumn="0" w:lastRowFirstColumn="0" w:lastRowLastColumn="0"/>
              <w:rPr>
                <w:sz w:val="20"/>
                <w:szCs w:val="20"/>
                <w:lang w:val="en-US"/>
              </w:rPr>
            </w:pPr>
            <w:proofErr w:type="spellStart"/>
            <w:r w:rsidRPr="008A359D">
              <w:rPr>
                <w:sz w:val="20"/>
                <w:szCs w:val="20"/>
                <w:lang w:val="en-US"/>
              </w:rPr>
              <w:t>Penilaian</w:t>
            </w:r>
            <w:proofErr w:type="spellEnd"/>
            <w:r w:rsidRPr="008A359D">
              <w:rPr>
                <w:sz w:val="20"/>
                <w:szCs w:val="20"/>
                <w:lang w:val="en-US"/>
              </w:rPr>
              <w:t xml:space="preserve"> </w:t>
            </w:r>
            <w:proofErr w:type="spellStart"/>
            <w:r w:rsidRPr="008A359D">
              <w:rPr>
                <w:sz w:val="20"/>
                <w:szCs w:val="20"/>
                <w:lang w:val="en-US"/>
              </w:rPr>
              <w:t>terhadap</w:t>
            </w:r>
            <w:proofErr w:type="spellEnd"/>
            <w:r w:rsidRPr="008A359D">
              <w:rPr>
                <w:sz w:val="20"/>
                <w:szCs w:val="20"/>
                <w:lang w:val="en-US"/>
              </w:rPr>
              <w:t xml:space="preserve"> </w:t>
            </w:r>
            <w:proofErr w:type="spellStart"/>
            <w:r w:rsidRPr="008A359D">
              <w:rPr>
                <w:sz w:val="20"/>
                <w:szCs w:val="20"/>
                <w:lang w:val="en-US"/>
              </w:rPr>
              <w:t>pendapatan</w:t>
            </w:r>
            <w:proofErr w:type="spellEnd"/>
            <w:r w:rsidRPr="008A359D">
              <w:rPr>
                <w:sz w:val="20"/>
                <w:szCs w:val="20"/>
                <w:lang w:val="en-US"/>
              </w:rPr>
              <w:t xml:space="preserve"> bank</w:t>
            </w:r>
          </w:p>
        </w:tc>
        <w:tc>
          <w:tcPr>
            <w:tcW w:w="1417" w:type="dxa"/>
            <w:tcBorders>
              <w:top w:val="nil"/>
              <w:bottom w:val="nil"/>
            </w:tcBorders>
          </w:tcPr>
          <w:p w:rsidR="00816C00" w:rsidRPr="008A359D" w:rsidRDefault="00816C00" w:rsidP="00581DB9">
            <w:pPr>
              <w:pStyle w:val="ListParagraph"/>
              <w:ind w:left="0"/>
              <w:cnfStyle w:val="000000000000" w:firstRow="0" w:lastRow="0" w:firstColumn="0" w:lastColumn="0" w:oddVBand="0" w:evenVBand="0" w:oddHBand="0" w:evenHBand="0" w:firstRowFirstColumn="0" w:firstRowLastColumn="0" w:lastRowFirstColumn="0" w:lastRowLastColumn="0"/>
              <w:rPr>
                <w:sz w:val="20"/>
                <w:szCs w:val="20"/>
                <w:lang w:val="en-US"/>
              </w:rPr>
            </w:pPr>
            <w:r w:rsidRPr="008A359D">
              <w:rPr>
                <w:i/>
                <w:iCs/>
                <w:sz w:val="20"/>
                <w:szCs w:val="20"/>
                <w:lang w:val="en-US"/>
              </w:rPr>
              <w:t>BOPO</w:t>
            </w:r>
            <w:r w:rsidRPr="008A359D">
              <w:rPr>
                <w:sz w:val="20"/>
                <w:szCs w:val="20"/>
                <w:lang w:val="en-US"/>
              </w:rPr>
              <w:t xml:space="preserve"> </w:t>
            </w:r>
          </w:p>
          <w:p w:rsidR="00816C00" w:rsidRPr="008A359D" w:rsidRDefault="00816C00" w:rsidP="00581DB9">
            <w:pPr>
              <w:pStyle w:val="ListParagraph"/>
              <w:ind w:left="0"/>
              <w:cnfStyle w:val="000000000000" w:firstRow="0" w:lastRow="0" w:firstColumn="0" w:lastColumn="0" w:oddVBand="0" w:evenVBand="0" w:oddHBand="0" w:evenHBand="0" w:firstRowFirstColumn="0" w:firstRowLastColumn="0" w:lastRowFirstColumn="0" w:lastRowLastColumn="0"/>
              <w:rPr>
                <w:sz w:val="20"/>
                <w:szCs w:val="20"/>
                <w:lang w:val="en-US"/>
              </w:rPr>
            </w:pPr>
            <w:r w:rsidRPr="008A359D">
              <w:rPr>
                <w:sz w:val="20"/>
                <w:szCs w:val="20"/>
                <w:lang w:val="en-US"/>
              </w:rPr>
              <w:t xml:space="preserve">(Beban </w:t>
            </w:r>
            <w:proofErr w:type="spellStart"/>
            <w:r w:rsidRPr="008A359D">
              <w:rPr>
                <w:sz w:val="20"/>
                <w:szCs w:val="20"/>
                <w:lang w:val="en-US"/>
              </w:rPr>
              <w:t>Operasional</w:t>
            </w:r>
            <w:proofErr w:type="spellEnd"/>
            <w:r w:rsidRPr="008A359D">
              <w:rPr>
                <w:sz w:val="20"/>
                <w:szCs w:val="20"/>
                <w:lang w:val="en-US"/>
              </w:rPr>
              <w:t xml:space="preserve"> dan </w:t>
            </w:r>
            <w:proofErr w:type="spellStart"/>
            <w:r w:rsidRPr="008A359D">
              <w:rPr>
                <w:sz w:val="20"/>
                <w:szCs w:val="20"/>
                <w:lang w:val="en-US"/>
              </w:rPr>
              <w:t>Pendapatan</w:t>
            </w:r>
            <w:proofErr w:type="spellEnd"/>
            <w:r w:rsidRPr="008A359D">
              <w:rPr>
                <w:sz w:val="20"/>
                <w:szCs w:val="20"/>
                <w:lang w:val="en-US"/>
              </w:rPr>
              <w:t xml:space="preserve"> </w:t>
            </w:r>
            <w:proofErr w:type="spellStart"/>
            <w:r w:rsidRPr="008A359D">
              <w:rPr>
                <w:sz w:val="20"/>
                <w:szCs w:val="20"/>
                <w:lang w:val="en-US"/>
              </w:rPr>
              <w:t>Operasional</w:t>
            </w:r>
            <w:proofErr w:type="spellEnd"/>
            <w:r w:rsidRPr="008A359D">
              <w:rPr>
                <w:sz w:val="20"/>
                <w:szCs w:val="20"/>
                <w:lang w:val="en-US"/>
              </w:rPr>
              <w:t>)</w:t>
            </w:r>
          </w:p>
        </w:tc>
        <w:tc>
          <w:tcPr>
            <w:tcW w:w="3544" w:type="dxa"/>
            <w:tcBorders>
              <w:top w:val="nil"/>
              <w:bottom w:val="nil"/>
            </w:tcBorders>
          </w:tcPr>
          <w:p w:rsidR="00816C00" w:rsidRPr="008A359D" w:rsidRDefault="00816C00" w:rsidP="00581DB9">
            <w:pPr>
              <w:pStyle w:val="ListParagraph"/>
              <w:ind w:left="0"/>
              <w:cnfStyle w:val="000000000000" w:firstRow="0" w:lastRow="0" w:firstColumn="0" w:lastColumn="0" w:oddVBand="0" w:evenVBand="0" w:oddHBand="0" w:evenHBand="0" w:firstRowFirstColumn="0" w:firstRowLastColumn="0" w:lastRowFirstColumn="0" w:lastRowLastColumn="0"/>
              <w:rPr>
                <w:sz w:val="20"/>
                <w:szCs w:val="20"/>
                <w:lang w:val="en-US"/>
              </w:rPr>
            </w:pPr>
            <m:oMathPara>
              <m:oMathParaPr>
                <m:jc m:val="left"/>
              </m:oMathParaPr>
              <m:oMath>
                <m:r>
                  <w:rPr>
                    <w:rFonts w:ascii="Cambria Math" w:hAnsi="Cambria Math"/>
                    <w:sz w:val="20"/>
                    <w:szCs w:val="20"/>
                    <w:lang w:val="en-US"/>
                  </w:rPr>
                  <m:t>BOPO</m:t>
                </m:r>
                <m:r>
                  <m:rPr>
                    <m:sty m:val="p"/>
                  </m:rPr>
                  <w:rPr>
                    <w:rFonts w:ascii="Cambria Math" w:hAnsi="Cambria Math"/>
                    <w:sz w:val="20"/>
                    <w:szCs w:val="20"/>
                    <w:lang w:val="en-US"/>
                  </w:rPr>
                  <m:t>=</m:t>
                </m:r>
                <m:f>
                  <m:fPr>
                    <m:ctrlPr>
                      <w:rPr>
                        <w:rFonts w:ascii="Cambria Math" w:hAnsi="Cambria Math"/>
                        <w:sz w:val="20"/>
                        <w:szCs w:val="20"/>
                        <w:lang w:val="en-US"/>
                      </w:rPr>
                    </m:ctrlPr>
                  </m:fPr>
                  <m:num>
                    <m:r>
                      <w:rPr>
                        <w:rFonts w:ascii="Cambria Math" w:hAnsi="Cambria Math"/>
                        <w:sz w:val="20"/>
                        <w:szCs w:val="20"/>
                        <w:lang w:val="en-US"/>
                      </w:rPr>
                      <m:t>Beban Operasional</m:t>
                    </m:r>
                  </m:num>
                  <m:den>
                    <m:r>
                      <w:rPr>
                        <w:rFonts w:ascii="Cambria Math" w:hAnsi="Cambria Math"/>
                        <w:sz w:val="20"/>
                        <w:szCs w:val="20"/>
                        <w:lang w:val="en-US"/>
                      </w:rPr>
                      <m:t>Pendapatan Operasional</m:t>
                    </m:r>
                  </m:den>
                </m:f>
                <m:r>
                  <w:rPr>
                    <w:rFonts w:ascii="Cambria Math" w:hAnsi="Cambria Math"/>
                    <w:sz w:val="20"/>
                    <w:szCs w:val="20"/>
                    <w:lang w:val="en-US"/>
                  </w:rPr>
                  <m:t>x 100%</m:t>
                </m:r>
              </m:oMath>
            </m:oMathPara>
          </w:p>
        </w:tc>
        <w:tc>
          <w:tcPr>
            <w:tcW w:w="851" w:type="dxa"/>
            <w:tcBorders>
              <w:top w:val="nil"/>
              <w:bottom w:val="nil"/>
            </w:tcBorders>
          </w:tcPr>
          <w:p w:rsidR="00816C00" w:rsidRPr="008A359D" w:rsidRDefault="00816C00" w:rsidP="00581DB9">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8A359D">
              <w:rPr>
                <w:sz w:val="20"/>
                <w:szCs w:val="20"/>
              </w:rPr>
              <w:t>Rasio</w:t>
            </w:r>
          </w:p>
        </w:tc>
        <w:tc>
          <w:tcPr>
            <w:tcW w:w="996" w:type="dxa"/>
            <w:tcBorders>
              <w:top w:val="nil"/>
              <w:bottom w:val="nil"/>
            </w:tcBorders>
          </w:tcPr>
          <w:p w:rsidR="00816C00" w:rsidRPr="008A359D" w:rsidRDefault="00816C00" w:rsidP="00581DB9">
            <w:pPr>
              <w:pStyle w:val="ListParagraph"/>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8A359D">
              <w:rPr>
                <w:sz w:val="20"/>
                <w:szCs w:val="20"/>
              </w:rPr>
              <w:fldChar w:fldCharType="begin" w:fldLock="1"/>
            </w:r>
            <w:r w:rsidRPr="008A359D">
              <w:rPr>
                <w:sz w:val="20"/>
                <w:szCs w:val="20"/>
              </w:rPr>
              <w:instrText>ADDIN CSL_CITATION {"citationItems":[{"id":"ITEM-1","itemData":{"DOI":"10.37726/ee.v6i1.408","ISSN":"2599-2708","abstract":"Kondisi keuangan suatu lembaga keuangan sangat penting terjaga kesehatannya, sebagai salah satu cara untuk menjaga kepuasan nasabah dan menambah jumlah investor. Tujuan penelitian ini untuk mengetahui analisis penilaian tingkat kesehatan pada Bank Central Asia (BCA) Syariah berdasarkan metode CAMEL di PT. Bank BCA Syariah Periode 2015-2019. Penelitian ini menggunakan metode penelitian deskriptif kuantitatif. Sumber data yang diperlukan dalam penelitian ini yaitu dengan menggunakan data sekunder. Berdasarkan hasil pembahasan diatas dapat ditarik kesimpulan bahwa tingkat kesehatan BCA Syariah periode 2015-2019 berdasarkan Capital (permodalan) mendapatkan predikat “Sangat Sehat”. Karena nilai CAR yang didapatkan lebih besar dari 12% sesuai dengan ketentuan Bank Indonesia. Tingkat kesehatan BCA Syariah periode 2015-2019 berdasarkan Assets (Kualitas Aktiva Produktif) mendapatkan predikat “Sehat”, karena nilai KAP yang didapatkan dibawah 10,35%. Tingkat kesehatan BCA Syariah periode 2015-2019 berdasarkan Management (Manajemen) dengan menilai tingkat NPM (Net Profit Margin) mendapat predikat “Cukup Sehat”, karena nilai NPM yang didapatkan berada di kisaran 66%-80%. Tingkat kesehatan BCA Syariah periode 2015-2019 berdasarkan Earning (Rentabilitas) menggunakan dua rasio ROA dan BOPO. ROA tahun 2015-2019 mendapatkan kategori “Cukup Sehat”, karena nilai ROA yang didapatkan berada di kisaran 0,5%-1,24%. Sedangkan tingkat kesehatan rasio BOPO periode 2015-2019 berada pada predikat “Sangat Sehat”, karena nilai BOPO yang didapatkan lebih kecil dari 94%. Tingkat kesehatan BCA Syariah periode 2015-2019 berdasarkan Liquidity (Likuiditas) menggunakan rasio FDR (Finance to Deposit Ratio) didapatkan predikat “Cukup Sehat”, karena nilai FDR yang didapatkan berada dikisaran 85%-100%. Tingkat kesehatan BCA Syariah pada tahun 2015-2019 menggunakan metode CAMEL berada pada posisi “Cukup Sehat”. Dikarenakan nilai CAMEL yang diperoleh berada pada posisi kurang dari 81%, atau berada pada rentang 66%-80%. Artinya bank dinilai cukup mampu menghadapi pengaruh negatif yang signifikan dari perubahan kondisi bisnis, faktor eksternal lain tercermin dari peringkat faktor penilaian, antara lain profil risiko, penerapan tata kelola, rentabilitas, dan permodalan yang secara umum cukup baik.","author":[{"dropping-particle":"","family":"Purnama","given":"Yulia","non-dropping-particle":"","parse-names":false,"suffix":""}],"container-title":"EKSISBANK: Ekonomi Syariah dan Bisnis Perbankan","id":"ITEM-1","issue":"1","issued":{"date-parts":[["2022"]]},"page":"90-108","title":"Analisis Penilaian Tingkat Kesehatan Pada Bank Central Asia (BCA) Syariah Berdasarkan Metode Camel (Studi Kasus Pada PT Bank BCA Syariah Periode 2015-2019)","type":"article-journal","volume":"6"},"uris":["http://www.mendeley.com/documents/?uuid=bd8f13fa-f54d-44bc-907f-1105ac4e0da2"]}],"mendeley":{"formattedCitation":"[23]","plainTextFormattedCitation":"[23]","previouslyFormattedCitation":"[23]"},"properties":{"noteIndex":0},"schema":"https://github.com/citation-style-language/schema/raw/master/csl-citation.json"}</w:instrText>
            </w:r>
            <w:r w:rsidRPr="008A359D">
              <w:rPr>
                <w:sz w:val="20"/>
                <w:szCs w:val="20"/>
              </w:rPr>
              <w:fldChar w:fldCharType="separate"/>
            </w:r>
            <w:r w:rsidRPr="008A359D">
              <w:rPr>
                <w:noProof/>
                <w:sz w:val="20"/>
                <w:szCs w:val="20"/>
              </w:rPr>
              <w:t>[23]</w:t>
            </w:r>
            <w:r w:rsidRPr="008A359D">
              <w:rPr>
                <w:sz w:val="20"/>
                <w:szCs w:val="20"/>
              </w:rPr>
              <w:fldChar w:fldCharType="end"/>
            </w:r>
          </w:p>
        </w:tc>
      </w:tr>
      <w:tr w:rsidR="00816C00" w:rsidRPr="008A359D" w:rsidTr="005C0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tcBorders>
          </w:tcPr>
          <w:p w:rsidR="00816C00" w:rsidRPr="008A359D" w:rsidRDefault="00816C00" w:rsidP="00581DB9">
            <w:pPr>
              <w:pStyle w:val="ListParagraph"/>
              <w:ind w:left="0"/>
              <w:rPr>
                <w:b w:val="0"/>
                <w:bCs w:val="0"/>
                <w:i/>
                <w:iCs/>
                <w:sz w:val="20"/>
                <w:szCs w:val="20"/>
                <w:lang w:val="en-US"/>
              </w:rPr>
            </w:pPr>
            <w:r w:rsidRPr="008A359D">
              <w:rPr>
                <w:b w:val="0"/>
                <w:bCs w:val="0"/>
                <w:i/>
                <w:iCs/>
                <w:sz w:val="20"/>
                <w:szCs w:val="20"/>
                <w:lang w:val="en-US"/>
              </w:rPr>
              <w:t>Liquidity</w:t>
            </w:r>
          </w:p>
        </w:tc>
        <w:tc>
          <w:tcPr>
            <w:tcW w:w="1276" w:type="dxa"/>
            <w:tcBorders>
              <w:top w:val="nil"/>
            </w:tcBorders>
          </w:tcPr>
          <w:p w:rsidR="00816C00" w:rsidRPr="008A359D" w:rsidRDefault="00816C00" w:rsidP="00581DB9">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8A359D">
              <w:rPr>
                <w:sz w:val="20"/>
                <w:szCs w:val="20"/>
                <w:lang w:val="en-US"/>
              </w:rPr>
              <w:t>Penilaian</w:t>
            </w:r>
            <w:proofErr w:type="spellEnd"/>
            <w:r w:rsidRPr="008A359D">
              <w:rPr>
                <w:sz w:val="20"/>
                <w:szCs w:val="20"/>
                <w:lang w:val="en-US"/>
              </w:rPr>
              <w:t xml:space="preserve"> </w:t>
            </w:r>
            <w:proofErr w:type="spellStart"/>
            <w:r w:rsidRPr="008A359D">
              <w:rPr>
                <w:sz w:val="20"/>
                <w:szCs w:val="20"/>
                <w:lang w:val="en-US"/>
              </w:rPr>
              <w:t>terhadap</w:t>
            </w:r>
            <w:proofErr w:type="spellEnd"/>
            <w:r w:rsidRPr="008A359D">
              <w:rPr>
                <w:sz w:val="20"/>
                <w:szCs w:val="20"/>
                <w:lang w:val="en-US"/>
              </w:rPr>
              <w:t xml:space="preserve"> </w:t>
            </w:r>
            <w:proofErr w:type="spellStart"/>
            <w:r w:rsidRPr="008A359D">
              <w:rPr>
                <w:sz w:val="20"/>
                <w:szCs w:val="20"/>
                <w:lang w:val="en-US"/>
              </w:rPr>
              <w:t>likuiditas</w:t>
            </w:r>
            <w:proofErr w:type="spellEnd"/>
            <w:r w:rsidRPr="008A359D">
              <w:rPr>
                <w:sz w:val="20"/>
                <w:szCs w:val="20"/>
                <w:lang w:val="en-US"/>
              </w:rPr>
              <w:t xml:space="preserve">  bank</w:t>
            </w:r>
          </w:p>
        </w:tc>
        <w:tc>
          <w:tcPr>
            <w:tcW w:w="1417" w:type="dxa"/>
            <w:tcBorders>
              <w:top w:val="nil"/>
            </w:tcBorders>
          </w:tcPr>
          <w:p w:rsidR="00816C00" w:rsidRPr="008A359D" w:rsidRDefault="00816C00" w:rsidP="00581DB9">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8A359D">
              <w:rPr>
                <w:i/>
                <w:iCs/>
                <w:sz w:val="20"/>
                <w:szCs w:val="20"/>
              </w:rPr>
              <w:t>FDR</w:t>
            </w:r>
            <w:r w:rsidRPr="008A359D">
              <w:rPr>
                <w:sz w:val="20"/>
                <w:szCs w:val="20"/>
              </w:rPr>
              <w:t xml:space="preserve"> </w:t>
            </w:r>
          </w:p>
          <w:p w:rsidR="00816C00" w:rsidRPr="008A359D" w:rsidRDefault="00816C00" w:rsidP="00581DB9">
            <w:pPr>
              <w:pStyle w:val="ListParagraph"/>
              <w:ind w:left="0"/>
              <w:cnfStyle w:val="000000100000" w:firstRow="0" w:lastRow="0" w:firstColumn="0" w:lastColumn="0" w:oddVBand="0" w:evenVBand="0" w:oddHBand="1" w:evenHBand="0" w:firstRowFirstColumn="0" w:firstRowLastColumn="0" w:lastRowFirstColumn="0" w:lastRowLastColumn="0"/>
              <w:rPr>
                <w:sz w:val="20"/>
                <w:szCs w:val="20"/>
                <w:lang w:val="en-US"/>
              </w:rPr>
            </w:pPr>
            <w:r w:rsidRPr="008A359D">
              <w:rPr>
                <w:sz w:val="20"/>
                <w:szCs w:val="20"/>
              </w:rPr>
              <w:t>(</w:t>
            </w:r>
            <w:r w:rsidRPr="008A359D">
              <w:rPr>
                <w:i/>
                <w:iCs/>
                <w:sz w:val="20"/>
                <w:szCs w:val="20"/>
                <w:lang w:val="en-US"/>
              </w:rPr>
              <w:t>Financing to Deposit Ratio</w:t>
            </w:r>
            <w:r w:rsidRPr="008A359D">
              <w:rPr>
                <w:sz w:val="20"/>
                <w:szCs w:val="20"/>
                <w:lang w:val="en-US"/>
              </w:rPr>
              <w:t>)</w:t>
            </w:r>
          </w:p>
        </w:tc>
        <w:tc>
          <w:tcPr>
            <w:tcW w:w="3544" w:type="dxa"/>
            <w:tcBorders>
              <w:top w:val="nil"/>
            </w:tcBorders>
          </w:tcPr>
          <w:p w:rsidR="00816C00" w:rsidRPr="008A359D" w:rsidRDefault="00816C00" w:rsidP="00581DB9">
            <w:pPr>
              <w:pStyle w:val="ListParagraph"/>
              <w:ind w:left="0"/>
              <w:cnfStyle w:val="000000100000" w:firstRow="0" w:lastRow="0" w:firstColumn="0" w:lastColumn="0" w:oddVBand="0" w:evenVBand="0" w:oddHBand="1" w:evenHBand="0" w:firstRowFirstColumn="0" w:firstRowLastColumn="0" w:lastRowFirstColumn="0" w:lastRowLastColumn="0"/>
              <w:rPr>
                <w:sz w:val="20"/>
                <w:szCs w:val="20"/>
                <w:lang w:val="en-US"/>
              </w:rPr>
            </w:pPr>
            <m:oMathPara>
              <m:oMathParaPr>
                <m:jc m:val="left"/>
              </m:oMathParaPr>
              <m:oMath>
                <m:r>
                  <w:rPr>
                    <w:rFonts w:ascii="Cambria Math" w:hAnsi="Cambria Math"/>
                    <w:sz w:val="20"/>
                    <w:szCs w:val="20"/>
                    <w:lang w:val="en-US"/>
                  </w:rPr>
                  <m:t>FDR</m:t>
                </m:r>
                <m:r>
                  <m:rPr>
                    <m:sty m:val="p"/>
                  </m:rPr>
                  <w:rPr>
                    <w:rFonts w:ascii="Cambria Math" w:hAnsi="Cambria Math"/>
                    <w:sz w:val="20"/>
                    <w:szCs w:val="20"/>
                    <w:lang w:val="en-US"/>
                  </w:rPr>
                  <m:t>=</m:t>
                </m:r>
                <m:f>
                  <m:fPr>
                    <m:ctrlPr>
                      <w:rPr>
                        <w:rFonts w:ascii="Cambria Math" w:hAnsi="Cambria Math"/>
                        <w:sz w:val="20"/>
                        <w:szCs w:val="20"/>
                        <w:lang w:val="en-US"/>
                      </w:rPr>
                    </m:ctrlPr>
                  </m:fPr>
                  <m:num>
                    <m:r>
                      <w:rPr>
                        <w:rFonts w:ascii="Cambria Math" w:hAnsi="Cambria Math"/>
                        <w:sz w:val="20"/>
                        <w:szCs w:val="20"/>
                        <w:lang w:val="en-US"/>
                      </w:rPr>
                      <m:t>Kredit yang Diberikan</m:t>
                    </m:r>
                  </m:num>
                  <m:den>
                    <m:r>
                      <w:rPr>
                        <w:rFonts w:ascii="Cambria Math" w:hAnsi="Cambria Math"/>
                        <w:sz w:val="20"/>
                        <w:szCs w:val="20"/>
                        <w:lang w:val="en-US"/>
                      </w:rPr>
                      <m:t>Total Dana Pihak Ketiga</m:t>
                    </m:r>
                  </m:den>
                </m:f>
                <m:r>
                  <w:rPr>
                    <w:rFonts w:ascii="Cambria Math" w:hAnsi="Cambria Math"/>
                    <w:sz w:val="20"/>
                    <w:szCs w:val="20"/>
                    <w:lang w:val="en-US"/>
                  </w:rPr>
                  <m:t>x 100%</m:t>
                </m:r>
              </m:oMath>
            </m:oMathPara>
          </w:p>
        </w:tc>
        <w:tc>
          <w:tcPr>
            <w:tcW w:w="851" w:type="dxa"/>
            <w:tcBorders>
              <w:top w:val="nil"/>
            </w:tcBorders>
          </w:tcPr>
          <w:p w:rsidR="00816C00" w:rsidRPr="008A359D" w:rsidRDefault="00816C00" w:rsidP="00581DB9">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8A359D">
              <w:rPr>
                <w:sz w:val="20"/>
                <w:szCs w:val="20"/>
              </w:rPr>
              <w:t>Rasio</w:t>
            </w:r>
          </w:p>
        </w:tc>
        <w:tc>
          <w:tcPr>
            <w:tcW w:w="996" w:type="dxa"/>
            <w:tcBorders>
              <w:top w:val="nil"/>
            </w:tcBorders>
          </w:tcPr>
          <w:p w:rsidR="00816C00" w:rsidRPr="008A359D" w:rsidRDefault="00816C00" w:rsidP="00581DB9">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8A359D">
              <w:rPr>
                <w:sz w:val="20"/>
                <w:szCs w:val="20"/>
              </w:rPr>
              <w:fldChar w:fldCharType="begin" w:fldLock="1"/>
            </w:r>
            <w:r w:rsidRPr="008A359D">
              <w:rPr>
                <w:sz w:val="20"/>
                <w:szCs w:val="20"/>
              </w:rPr>
              <w:instrText>ADDIN CSL_CITATION {"citationItems":[{"id":"ITEM-1","itemData":{"DOI":"10.37726/ee.v6i1.408","ISSN":"2599-2708","abstract":"Kondisi keuangan suatu lembaga keuangan sangat penting terjaga kesehatannya, sebagai salah satu cara untuk menjaga kepuasan nasabah dan menambah jumlah investor. Tujuan penelitian ini untuk mengetahui analisis penilaian tingkat kesehatan pada Bank Central Asia (BCA) Syariah berdasarkan metode CAMEL di PT. Bank BCA Syariah Periode 2015-2019. Penelitian ini menggunakan metode penelitian deskriptif kuantitatif. Sumber data yang diperlukan dalam penelitian ini yaitu dengan menggunakan data sekunder. Berdasarkan hasil pembahasan diatas dapat ditarik kesimpulan bahwa tingkat kesehatan BCA Syariah periode 2015-2019 berdasarkan Capital (permodalan) mendapatkan predikat “Sangat Sehat”. Karena nilai CAR yang didapatkan lebih besar dari 12% sesuai dengan ketentuan Bank Indonesia. Tingkat kesehatan BCA Syariah periode 2015-2019 berdasarkan Assets (Kualitas Aktiva Produktif) mendapatkan predikat “Sehat”, karena nilai KAP yang didapatkan dibawah 10,35%. Tingkat kesehatan BCA Syariah periode 2015-2019 berdasarkan Management (Manajemen) dengan menilai tingkat NPM (Net Profit Margin) mendapat predikat “Cukup Sehat”, karena nilai NPM yang didapatkan berada di kisaran 66%-80%. Tingkat kesehatan BCA Syariah periode 2015-2019 berdasarkan Earning (Rentabilitas) menggunakan dua rasio ROA dan BOPO. ROA tahun 2015-2019 mendapatkan kategori “Cukup Sehat”, karena nilai ROA yang didapatkan berada di kisaran 0,5%-1,24%. Sedangkan tingkat kesehatan rasio BOPO periode 2015-2019 berada pada predikat “Sangat Sehat”, karena nilai BOPO yang didapatkan lebih kecil dari 94%. Tingkat kesehatan BCA Syariah periode 2015-2019 berdasarkan Liquidity (Likuiditas) menggunakan rasio FDR (Finance to Deposit Ratio) didapatkan predikat “Cukup Sehat”, karena nilai FDR yang didapatkan berada dikisaran 85%-100%. Tingkat kesehatan BCA Syariah pada tahun 2015-2019 menggunakan metode CAMEL berada pada posisi “Cukup Sehat”. Dikarenakan nilai CAMEL yang diperoleh berada pada posisi kurang dari 81%, atau berada pada rentang 66%-80%. Artinya bank dinilai cukup mampu menghadapi pengaruh negatif yang signifikan dari perubahan kondisi bisnis, faktor eksternal lain tercermin dari peringkat faktor penilaian, antara lain profil risiko, penerapan tata kelola, rentabilitas, dan permodalan yang secara umum cukup baik.","author":[{"dropping-particle":"","family":"Purnama","given":"Yulia","non-dropping-particle":"","parse-names":false,"suffix":""}],"container-title":"EKSISBANK: Ekonomi Syariah dan Bisnis Perbankan","id":"ITEM-1","issue":"1","issued":{"date-parts":[["2022"]]},"page":"90-108","title":"Analisis Penilaian Tingkat Kesehatan Pada Bank Central Asia (BCA) Syariah Berdasarkan Metode Camel (Studi Kasus Pada PT Bank BCA Syariah Periode 2015-2019)","type":"article-journal","volume":"6"},"uris":["http://www.mendeley.com/documents/?uuid=bd8f13fa-f54d-44bc-907f-1105ac4e0da2"]}],"mendeley":{"formattedCitation":"[23]","plainTextFormattedCitation":"[23]","previouslyFormattedCitation":"[23]"},"properties":{"noteIndex":0},"schema":"https://github.com/citation-style-language/schema/raw/master/csl-citation.json"}</w:instrText>
            </w:r>
            <w:r w:rsidRPr="008A359D">
              <w:rPr>
                <w:sz w:val="20"/>
                <w:szCs w:val="20"/>
              </w:rPr>
              <w:fldChar w:fldCharType="separate"/>
            </w:r>
            <w:r w:rsidRPr="008A359D">
              <w:rPr>
                <w:noProof/>
                <w:sz w:val="20"/>
                <w:szCs w:val="20"/>
              </w:rPr>
              <w:t>[23]</w:t>
            </w:r>
            <w:r w:rsidRPr="008A359D">
              <w:rPr>
                <w:sz w:val="20"/>
                <w:szCs w:val="20"/>
              </w:rPr>
              <w:fldChar w:fldCharType="end"/>
            </w:r>
          </w:p>
        </w:tc>
      </w:tr>
    </w:tbl>
    <w:p w:rsidR="00816C00" w:rsidRPr="008A359D" w:rsidRDefault="00816C00" w:rsidP="00816C00">
      <w:pPr>
        <w:pStyle w:val="ListParagraph"/>
        <w:ind w:left="284" w:firstLine="436"/>
        <w:rPr>
          <w:sz w:val="20"/>
          <w:szCs w:val="20"/>
          <w:lang w:val="en-US"/>
        </w:rPr>
      </w:pPr>
    </w:p>
    <w:p w:rsidR="00816C00" w:rsidRPr="008A359D" w:rsidRDefault="00816C00" w:rsidP="00816C00">
      <w:pPr>
        <w:pBdr>
          <w:top w:val="nil"/>
          <w:left w:val="nil"/>
          <w:bottom w:val="nil"/>
          <w:right w:val="nil"/>
          <w:between w:val="nil"/>
        </w:pBdr>
        <w:jc w:val="both"/>
        <w:rPr>
          <w:b/>
          <w:bCs/>
          <w:sz w:val="20"/>
          <w:szCs w:val="20"/>
        </w:rPr>
      </w:pPr>
      <w:r w:rsidRPr="008A359D">
        <w:rPr>
          <w:b/>
          <w:bCs/>
          <w:sz w:val="20"/>
          <w:szCs w:val="20"/>
        </w:rPr>
        <w:t>Teknik Pengumpulan Data</w:t>
      </w:r>
    </w:p>
    <w:p w:rsidR="00816C00" w:rsidRPr="008A359D" w:rsidRDefault="00816C00" w:rsidP="00816C00">
      <w:pPr>
        <w:pBdr>
          <w:top w:val="nil"/>
          <w:left w:val="nil"/>
          <w:bottom w:val="nil"/>
          <w:right w:val="nil"/>
          <w:between w:val="nil"/>
        </w:pBdr>
        <w:ind w:firstLine="288"/>
        <w:jc w:val="both"/>
        <w:rPr>
          <w:sz w:val="20"/>
          <w:szCs w:val="20"/>
        </w:rPr>
      </w:pPr>
      <w:r w:rsidRPr="008A359D">
        <w:rPr>
          <w:sz w:val="20"/>
          <w:szCs w:val="20"/>
        </w:rPr>
        <w:t>Ada dua cara yang dilakukan untuk mengumpulkan data yakni :</w:t>
      </w:r>
    </w:p>
    <w:p w:rsidR="00816C00" w:rsidRPr="008A359D" w:rsidRDefault="00816C00" w:rsidP="00816C00">
      <w:pPr>
        <w:pStyle w:val="ListParagraph"/>
        <w:numPr>
          <w:ilvl w:val="0"/>
          <w:numId w:val="5"/>
        </w:numPr>
        <w:pBdr>
          <w:top w:val="nil"/>
          <w:left w:val="nil"/>
          <w:bottom w:val="nil"/>
          <w:right w:val="nil"/>
          <w:between w:val="nil"/>
        </w:pBdr>
        <w:ind w:left="284" w:hanging="284"/>
        <w:jc w:val="both"/>
        <w:rPr>
          <w:sz w:val="20"/>
          <w:szCs w:val="20"/>
        </w:rPr>
      </w:pPr>
      <w:r w:rsidRPr="008A359D">
        <w:rPr>
          <w:sz w:val="20"/>
          <w:szCs w:val="20"/>
        </w:rPr>
        <w:t xml:space="preserve">Teknik dokumentasi yaitu data yang didapat dari dokumen-dokumen, yakni laporan keuangan bulanan publikasi Bank Syariah Indonesia. </w:t>
      </w:r>
    </w:p>
    <w:p w:rsidR="00816C00" w:rsidRPr="008A359D" w:rsidRDefault="00816C00" w:rsidP="00816C00">
      <w:pPr>
        <w:pStyle w:val="ListParagraph"/>
        <w:numPr>
          <w:ilvl w:val="0"/>
          <w:numId w:val="5"/>
        </w:numPr>
        <w:pBdr>
          <w:top w:val="nil"/>
          <w:left w:val="nil"/>
          <w:bottom w:val="nil"/>
          <w:right w:val="nil"/>
          <w:between w:val="nil"/>
        </w:pBdr>
        <w:ind w:left="284" w:hanging="284"/>
        <w:jc w:val="both"/>
        <w:rPr>
          <w:sz w:val="20"/>
          <w:szCs w:val="20"/>
        </w:rPr>
      </w:pPr>
      <w:r w:rsidRPr="008A359D">
        <w:rPr>
          <w:sz w:val="20"/>
          <w:szCs w:val="20"/>
        </w:rPr>
        <w:t>Studi pustaka yaitu sebuah cara dalam mendapatkan data melalui proses menelaah buku, literatur, jurnal, catatan dan laporan yang berkaitan dengan penelitian.</w:t>
      </w:r>
    </w:p>
    <w:p w:rsidR="00816C00" w:rsidRPr="008A359D" w:rsidRDefault="00816C00" w:rsidP="00816C00">
      <w:pPr>
        <w:pBdr>
          <w:top w:val="nil"/>
          <w:left w:val="nil"/>
          <w:bottom w:val="nil"/>
          <w:right w:val="nil"/>
          <w:between w:val="nil"/>
        </w:pBdr>
        <w:ind w:firstLine="288"/>
        <w:jc w:val="both"/>
        <w:rPr>
          <w:sz w:val="20"/>
          <w:szCs w:val="20"/>
        </w:rPr>
      </w:pPr>
    </w:p>
    <w:p w:rsidR="00816C00" w:rsidRPr="008A359D" w:rsidRDefault="00816C00" w:rsidP="00816C00">
      <w:pPr>
        <w:pBdr>
          <w:top w:val="nil"/>
          <w:left w:val="nil"/>
          <w:bottom w:val="nil"/>
          <w:right w:val="nil"/>
          <w:between w:val="nil"/>
        </w:pBdr>
        <w:jc w:val="both"/>
        <w:rPr>
          <w:b/>
          <w:bCs/>
          <w:sz w:val="20"/>
          <w:szCs w:val="20"/>
        </w:rPr>
      </w:pPr>
      <w:r w:rsidRPr="008A359D">
        <w:rPr>
          <w:b/>
          <w:bCs/>
          <w:sz w:val="20"/>
          <w:szCs w:val="20"/>
        </w:rPr>
        <w:t>Teknik Analisis</w:t>
      </w:r>
    </w:p>
    <w:p w:rsidR="00816C00" w:rsidRPr="008A359D" w:rsidRDefault="00816C00" w:rsidP="00816C00">
      <w:pPr>
        <w:pBdr>
          <w:top w:val="nil"/>
          <w:left w:val="nil"/>
          <w:bottom w:val="nil"/>
          <w:right w:val="nil"/>
          <w:between w:val="nil"/>
        </w:pBdr>
        <w:ind w:firstLine="288"/>
        <w:jc w:val="both"/>
        <w:rPr>
          <w:sz w:val="20"/>
          <w:szCs w:val="20"/>
        </w:rPr>
      </w:pPr>
      <w:r w:rsidRPr="008A359D">
        <w:rPr>
          <w:sz w:val="20"/>
          <w:szCs w:val="20"/>
        </w:rPr>
        <w:t xml:space="preserve">Analisis data penelitian ini dilakukan dengan metode statistik deskriptif, yakni suatu cara yang dilakukan untuk mengkaji data dengan memberikan gambaran terkait data yang dikumpulkan dengan tidak bermaksud memberikan kesimpulan </w:t>
      </w:r>
      <w:r w:rsidRPr="008A359D">
        <w:rPr>
          <w:sz w:val="20"/>
          <w:szCs w:val="20"/>
        </w:rPr>
        <w:fldChar w:fldCharType="begin" w:fldLock="1"/>
      </w:r>
      <w:r w:rsidRPr="008A359D">
        <w:rPr>
          <w:sz w:val="20"/>
          <w:szCs w:val="20"/>
        </w:rPr>
        <w:instrText>ADDIN CSL_CITATION {"citationItems":[{"id":"ITEM-1","itemData":{"DOI":"10.1007/978-3-662-48986-4_2900","ISBN":"9786237833338","abstract":"Predicting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ilgers","given":"R.-D.","non-dropping-particle":"","parse-names":false,"suffix":""},{"dropping-particle":"","family":"Heussen","given":"N.","non-dropping-particle":"","parse-names":false,"suffix":""},{"dropping-particle":"","family":"Stanzel","given":"S.","non-dropping-particle":"","parse-names":false,"suffix":""}],"id":"ITEM-1","issue":"1","issued":{"date-parts":[["2019"]]},"number-of-pages":"2212-2212","title":"Statistik, deskriptive","type":"book"},"uris":["http://www.mendeley.com/documents/?uuid=e7d76a03-1e88-4447-a8b2-5104f4d4b0aa"]}],"mendeley":{"formattedCitation":"[28]","plainTextFormattedCitation":"[28]","previouslyFormattedCitation":"[28]"},"properties":{"noteIndex":0},"schema":"https://github.com/citation-style-language/schema/raw/master/csl-citation.json"}</w:instrText>
      </w:r>
      <w:r w:rsidRPr="008A359D">
        <w:rPr>
          <w:sz w:val="20"/>
          <w:szCs w:val="20"/>
        </w:rPr>
        <w:fldChar w:fldCharType="separate"/>
      </w:r>
      <w:r w:rsidRPr="008A359D">
        <w:rPr>
          <w:noProof/>
          <w:sz w:val="20"/>
          <w:szCs w:val="20"/>
        </w:rPr>
        <w:t>[28]</w:t>
      </w:r>
      <w:r w:rsidRPr="008A359D">
        <w:rPr>
          <w:sz w:val="20"/>
          <w:szCs w:val="20"/>
        </w:rPr>
        <w:fldChar w:fldCharType="end"/>
      </w:r>
      <w:r w:rsidRPr="008A359D">
        <w:rPr>
          <w:sz w:val="20"/>
          <w:szCs w:val="20"/>
        </w:rPr>
        <w:t>.</w:t>
      </w:r>
    </w:p>
    <w:p w:rsidR="00816C00" w:rsidRPr="008A359D" w:rsidRDefault="00816C00" w:rsidP="00816C00">
      <w:pPr>
        <w:pBdr>
          <w:top w:val="nil"/>
          <w:left w:val="nil"/>
          <w:bottom w:val="nil"/>
          <w:right w:val="nil"/>
          <w:between w:val="nil"/>
        </w:pBdr>
        <w:ind w:firstLine="288"/>
        <w:jc w:val="both"/>
        <w:rPr>
          <w:sz w:val="20"/>
          <w:szCs w:val="20"/>
        </w:rPr>
      </w:pPr>
      <w:r w:rsidRPr="008A359D">
        <w:rPr>
          <w:sz w:val="20"/>
          <w:szCs w:val="20"/>
        </w:rPr>
        <w:t xml:space="preserve">Penelitian ini menggunakan salah satu uji statistik parametrik yaitu uji paired sample t-test, dimana yang sebelumnya dilakukan uji normalitas agar hasil datanya reliabel. Data yang dianalisis dalam uji parametrik statistik harus memiliki sifat normal, oleh karena itu data yang ada harus dilakukan pengujian terlebih dahulu untuk memastikan normalitasnya </w:t>
      </w:r>
      <w:r w:rsidRPr="008A359D">
        <w:rPr>
          <w:sz w:val="20"/>
          <w:szCs w:val="20"/>
        </w:rPr>
        <w:fldChar w:fldCharType="begin" w:fldLock="1"/>
      </w:r>
      <w:r w:rsidRPr="008A359D">
        <w:rPr>
          <w:sz w:val="20"/>
          <w:szCs w:val="20"/>
        </w:rPr>
        <w:instrText>ADDIN CSL_CITATION {"citationItems":[{"id":"ITEM-1","itemData":{"ISBN":"978-623-96979-0-7","abstract":"Seiring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Kata","author":[{"dropping-particle":"","family":"Malay","given":"M Nursalim","non-dropping-particle":"","parse-names":false,"suffix":""}],"container-title":"CV. Madani Jaya","id":"ITEM-1","issued":{"date-parts":[["2022"]]},"number-of-pages":"1-50","title":"Belajar Mudah &amp; Praktis Analisis Data Stastistik dan JAPS","type":"book"},"uris":["http://www.mendeley.com/documents/?uuid=25b4c3f6-19a9-4ef8-abd8-f9dcb738bc12"]}],"mendeley":{"formattedCitation":"[29]","plainTextFormattedCitation":"[29]","previouslyFormattedCitation":"[29]"},"properties":{"noteIndex":0},"schema":"https://github.com/citation-style-language/schema/raw/master/csl-citation.json"}</w:instrText>
      </w:r>
      <w:r w:rsidRPr="008A359D">
        <w:rPr>
          <w:sz w:val="20"/>
          <w:szCs w:val="20"/>
        </w:rPr>
        <w:fldChar w:fldCharType="separate"/>
      </w:r>
      <w:r w:rsidRPr="008A359D">
        <w:rPr>
          <w:noProof/>
          <w:sz w:val="20"/>
          <w:szCs w:val="20"/>
        </w:rPr>
        <w:t>[29]</w:t>
      </w:r>
      <w:r w:rsidRPr="008A359D">
        <w:rPr>
          <w:sz w:val="20"/>
          <w:szCs w:val="20"/>
        </w:rPr>
        <w:fldChar w:fldCharType="end"/>
      </w:r>
      <w:r w:rsidRPr="008A359D">
        <w:rPr>
          <w:sz w:val="20"/>
          <w:szCs w:val="20"/>
        </w:rPr>
        <w:t xml:space="preserve">. </w:t>
      </w:r>
    </w:p>
    <w:p w:rsidR="00816C00" w:rsidRPr="008A359D" w:rsidRDefault="00816C00" w:rsidP="00816C00">
      <w:pPr>
        <w:pBdr>
          <w:top w:val="nil"/>
          <w:left w:val="nil"/>
          <w:bottom w:val="nil"/>
          <w:right w:val="nil"/>
          <w:between w:val="nil"/>
        </w:pBdr>
        <w:jc w:val="both"/>
        <w:rPr>
          <w:b/>
          <w:bCs/>
          <w:sz w:val="20"/>
          <w:szCs w:val="20"/>
        </w:rPr>
      </w:pPr>
      <w:r w:rsidRPr="008A359D">
        <w:rPr>
          <w:b/>
          <w:bCs/>
          <w:sz w:val="20"/>
          <w:szCs w:val="20"/>
        </w:rPr>
        <w:t>Uji Normalitas</w:t>
      </w:r>
      <w:r w:rsidRPr="008A359D">
        <w:rPr>
          <w:b/>
          <w:bCs/>
          <w:sz w:val="20"/>
          <w:szCs w:val="20"/>
        </w:rPr>
        <w:tab/>
      </w:r>
    </w:p>
    <w:p w:rsidR="00816C00" w:rsidRPr="008A359D" w:rsidRDefault="00816C00" w:rsidP="00816C00">
      <w:pPr>
        <w:pBdr>
          <w:top w:val="nil"/>
          <w:left w:val="nil"/>
          <w:bottom w:val="nil"/>
          <w:right w:val="nil"/>
          <w:between w:val="nil"/>
        </w:pBdr>
        <w:ind w:firstLine="288"/>
        <w:jc w:val="both"/>
        <w:rPr>
          <w:sz w:val="20"/>
          <w:szCs w:val="20"/>
        </w:rPr>
      </w:pPr>
      <w:r w:rsidRPr="008A359D">
        <w:rPr>
          <w:sz w:val="20"/>
          <w:szCs w:val="20"/>
        </w:rPr>
        <w:lastRenderedPageBreak/>
        <w:t xml:space="preserve">Proses analisis penelitian ini melalui uji normalitas Shapiro Wilk dengan bantuan SPSS 25 karena jumlah sampelnya kurang dari 50. Pengujian ini dilakukan untuk melihat distribusi data penelitian ini normal atau tidak pada sampel yang jumlahnya kecil </w:t>
      </w:r>
      <w:r w:rsidRPr="008A359D">
        <w:rPr>
          <w:sz w:val="20"/>
          <w:szCs w:val="20"/>
        </w:rPr>
        <w:fldChar w:fldCharType="begin" w:fldLock="1"/>
      </w:r>
      <w:r w:rsidRPr="008A359D">
        <w:rPr>
          <w:sz w:val="20"/>
          <w:szCs w:val="20"/>
        </w:rPr>
        <w:instrText>ADDIN CSL_CITATION {"citationItems":[{"id":"ITEM-1","itemData":{"URL":"https://www.spssindonesia.com/2015/05/cara-uji-normalitas-shapiro-wilk-dengan.html","abstract":"Uji normalitas bertujuan untuk mengetahui apakah sebuah data penelitian berdistribusi normal atau tidak. Dalam analisis statistik paramertik, data berdistribusi normal adalah suatu keharusan sekaligus merupakan syarat mutlak yang harus terpenuhi. Adapun jika di dapati data tidak berdistribusi normal, maka pengujian hipotesis penelitian dilakukan dengan menggunakan pendekatan analisis statistik non parametrik. Salah satu cara untuk mendeteksi kenormalan sebuah data dapat dilakukan dengan teknik shapiro wilk. Uji shapiro wilk pada umumnya dipakai untuk sampel yang jumlahnya kecil (kurang dari 50 data). Sementara, untuk jumlah sampel besar (lebih dari 50 data) maka uji normalitas menggunakan teknik kolmogorov smirnov.","accessed":{"date-parts":[["2024","6","6"]]},"author":[{"dropping-particle":"","family":"Raharjo","given":"Sahid","non-dropping-particle":"","parse-names":false,"suffix":""}],"container-title":"SPSS Indonesia","id":"ITEM-1","issued":{"date-parts":[["0"]]},"title":"Cara Uji Normalitas Shapiro-Wilk dengan SPSS Lengkap","type":"webpage"},"uris":["http://www.mendeley.com/documents/?uuid=f7355243-8909-4e3f-9bbe-f910f021dbd1"]}],"mendeley":{"formattedCitation":"[30]","plainTextFormattedCitation":"[30]","previouslyFormattedCitation":"[30]"},"properties":{"noteIndex":0},"schema":"https://github.com/citation-style-language/schema/raw/master/csl-citation.json"}</w:instrText>
      </w:r>
      <w:r w:rsidRPr="008A359D">
        <w:rPr>
          <w:sz w:val="20"/>
          <w:szCs w:val="20"/>
        </w:rPr>
        <w:fldChar w:fldCharType="separate"/>
      </w:r>
      <w:r w:rsidRPr="008A359D">
        <w:rPr>
          <w:noProof/>
          <w:sz w:val="20"/>
          <w:szCs w:val="20"/>
        </w:rPr>
        <w:t>[30]</w:t>
      </w:r>
      <w:r w:rsidRPr="008A359D">
        <w:rPr>
          <w:sz w:val="20"/>
          <w:szCs w:val="20"/>
        </w:rPr>
        <w:fldChar w:fldCharType="end"/>
      </w:r>
      <w:r w:rsidRPr="008A359D">
        <w:rPr>
          <w:sz w:val="20"/>
          <w:szCs w:val="20"/>
        </w:rPr>
        <w:t>. Adapun interpretasinya ialah:</w:t>
      </w:r>
    </w:p>
    <w:p w:rsidR="00816C00" w:rsidRPr="008A359D" w:rsidRDefault="00816C00" w:rsidP="00816C00">
      <w:pPr>
        <w:pStyle w:val="ListParagraph"/>
        <w:numPr>
          <w:ilvl w:val="0"/>
          <w:numId w:val="6"/>
        </w:numPr>
        <w:pBdr>
          <w:top w:val="nil"/>
          <w:left w:val="nil"/>
          <w:bottom w:val="nil"/>
          <w:right w:val="nil"/>
          <w:between w:val="nil"/>
        </w:pBdr>
        <w:ind w:left="142" w:hanging="142"/>
        <w:jc w:val="both"/>
        <w:rPr>
          <w:sz w:val="20"/>
          <w:szCs w:val="20"/>
        </w:rPr>
      </w:pPr>
      <w:r w:rsidRPr="008A359D">
        <w:rPr>
          <w:sz w:val="20"/>
          <w:szCs w:val="20"/>
        </w:rPr>
        <w:t xml:space="preserve">Apabila nilai signifikasi &gt; 0,05 maka data terdistribusi normal. </w:t>
      </w:r>
    </w:p>
    <w:p w:rsidR="00816C00" w:rsidRPr="008A359D" w:rsidRDefault="00816C00" w:rsidP="00816C00">
      <w:pPr>
        <w:pStyle w:val="ListParagraph"/>
        <w:numPr>
          <w:ilvl w:val="0"/>
          <w:numId w:val="6"/>
        </w:numPr>
        <w:pBdr>
          <w:top w:val="nil"/>
          <w:left w:val="nil"/>
          <w:bottom w:val="nil"/>
          <w:right w:val="nil"/>
          <w:between w:val="nil"/>
        </w:pBdr>
        <w:ind w:left="142" w:hanging="142"/>
        <w:jc w:val="both"/>
        <w:rPr>
          <w:sz w:val="20"/>
          <w:szCs w:val="20"/>
        </w:rPr>
      </w:pPr>
      <w:r w:rsidRPr="008A359D">
        <w:rPr>
          <w:sz w:val="20"/>
          <w:szCs w:val="20"/>
        </w:rPr>
        <w:t>Sebaliknya, apabila nilai signifikasinya &lt; 0,05 maka data tidak terdistribusi normal.</w:t>
      </w:r>
    </w:p>
    <w:p w:rsidR="00816C00" w:rsidRPr="008A359D" w:rsidRDefault="00816C00" w:rsidP="00816C00">
      <w:pPr>
        <w:pBdr>
          <w:top w:val="nil"/>
          <w:left w:val="nil"/>
          <w:bottom w:val="nil"/>
          <w:right w:val="nil"/>
          <w:between w:val="nil"/>
        </w:pBdr>
        <w:ind w:firstLine="288"/>
        <w:jc w:val="both"/>
        <w:rPr>
          <w:sz w:val="20"/>
          <w:szCs w:val="20"/>
        </w:rPr>
      </w:pPr>
    </w:p>
    <w:p w:rsidR="00816C00" w:rsidRPr="008A359D" w:rsidRDefault="00816C00" w:rsidP="00816C00">
      <w:pPr>
        <w:pBdr>
          <w:top w:val="nil"/>
          <w:left w:val="nil"/>
          <w:bottom w:val="nil"/>
          <w:right w:val="nil"/>
          <w:between w:val="nil"/>
        </w:pBdr>
        <w:jc w:val="both"/>
        <w:rPr>
          <w:b/>
          <w:bCs/>
          <w:sz w:val="20"/>
          <w:szCs w:val="20"/>
        </w:rPr>
      </w:pPr>
      <w:r w:rsidRPr="008A359D">
        <w:rPr>
          <w:b/>
          <w:bCs/>
          <w:sz w:val="20"/>
          <w:szCs w:val="20"/>
        </w:rPr>
        <w:t xml:space="preserve">Uji Hipotesis </w:t>
      </w:r>
    </w:p>
    <w:p w:rsidR="00816C00" w:rsidRPr="008A359D" w:rsidRDefault="00816C00" w:rsidP="00816C00">
      <w:pPr>
        <w:pBdr>
          <w:top w:val="nil"/>
          <w:left w:val="nil"/>
          <w:bottom w:val="nil"/>
          <w:right w:val="nil"/>
          <w:between w:val="nil"/>
        </w:pBdr>
        <w:ind w:firstLine="288"/>
        <w:jc w:val="both"/>
        <w:rPr>
          <w:sz w:val="20"/>
          <w:szCs w:val="20"/>
        </w:rPr>
      </w:pPr>
      <w:r w:rsidRPr="008A359D">
        <w:rPr>
          <w:sz w:val="20"/>
          <w:szCs w:val="20"/>
        </w:rPr>
        <w:t xml:space="preserve">Uji hipotesis dilakukan melalui paired sample  t-test. Paired sample t-test yang juga dikenal sebagai uji sampel berpasangan, digunakan untuk membandingkan dua variabel yang berpasangan yang memiliki kesamaan namun mengalami perlakuan yang berbeda. Paired sample t-test dilakukan untuk mengevaluasi perbedaan rata-rata dari dua kelompok data yang berpasangan, yakni seperti perbedaan dari sebelum dan sesudah intervensi atau perbedaan antara kedua kondisi yang berbeda </w:t>
      </w:r>
      <w:r w:rsidRPr="008A359D">
        <w:rPr>
          <w:sz w:val="20"/>
          <w:szCs w:val="20"/>
        </w:rPr>
        <w:fldChar w:fldCharType="begin" w:fldLock="1"/>
      </w:r>
      <w:r w:rsidRPr="008A359D">
        <w:rPr>
          <w:sz w:val="20"/>
          <w:szCs w:val="20"/>
        </w:rPr>
        <w:instrText>ADDIN CSL_CITATION {"citationItems":[{"id":"ITEM-1","itemData":{"URL":"https://www.spssindonesia.com/2016/08/cara-uji-paired-sample-t-test-dan.html","abstract":"Uji paired sample t test merupakan bagian dari uji hipotesis komparatif atau uji perbandingan. Data yang digunakan dalam uji paired sample t test umumnya berupa data berskala interval atau rasio (data kuantitatif). Uji paired sample t test bertujuan untuk mengetahui apakah terdapat perbedaan rata-rata dua sampel (dua kelompok) yang saling berpasangan atau berhubungan. Sementara itu, jika penelitian yang kita lakukan bertujuan untuk mengetahui perbedaan rata-rata dua sampel yang tidak berpasangan, maka pengujian hipotesis menggunakan uji independent sample t test Uji paired sample t test merupakan bagian dari analisis statistik parametrik. Oleh karena Itu, sebagaimana aturan dasar dalam analisis statistik parametrik, maka persyaratan utamanya adalah data penelitian haruslah berdistribusi normal. Untuk mengetahui apakah data yang kita pakai dalam pengujian paired sample t test ini berdistribusi normal atau tidak, tentunya kita perlu melakukan uji normalitas terlebih dahulu. Sementara itu, jika di dapati bahwa data penelitian tidak berdistribusi normal maka solusi alternatif yang bisa dilakukan sebagai pengganti uji paired sample t test adalah menggunakan analisis statistik non parametrik dengan uji wilcoxon.","accessed":{"date-parts":[["2024","6","6"]]},"author":[{"dropping-particle":"","family":"Raharjo","given":"Sahid","non-dropping-particle":"","parse-names":false,"suffix":""}],"container-title":"SPSS Indonesia","id":"ITEM-1","issued":{"date-parts":[["0"]]},"title":"Cara Uji Paired Sample T-Test dan Interpretasi dengan SPSS","type":"webpage"},"uris":["http://www.mendeley.com/documents/?uuid=e6775071-5f6b-4c84-b797-7f62422f2936"]}],"mendeley":{"formattedCitation":"[31]","plainTextFormattedCitation":"[31]","previouslyFormattedCitation":"[31]"},"properties":{"noteIndex":0},"schema":"https://github.com/citation-style-language/schema/raw/master/csl-citation.json"}</w:instrText>
      </w:r>
      <w:r w:rsidRPr="008A359D">
        <w:rPr>
          <w:sz w:val="20"/>
          <w:szCs w:val="20"/>
        </w:rPr>
        <w:fldChar w:fldCharType="separate"/>
      </w:r>
      <w:r w:rsidRPr="008A359D">
        <w:rPr>
          <w:noProof/>
          <w:sz w:val="20"/>
          <w:szCs w:val="20"/>
        </w:rPr>
        <w:t>[31]</w:t>
      </w:r>
      <w:r w:rsidRPr="008A359D">
        <w:rPr>
          <w:sz w:val="20"/>
          <w:szCs w:val="20"/>
        </w:rPr>
        <w:fldChar w:fldCharType="end"/>
      </w:r>
      <w:r w:rsidRPr="008A359D">
        <w:rPr>
          <w:sz w:val="20"/>
          <w:szCs w:val="20"/>
        </w:rPr>
        <w:t>. Syarat dari pengujian ini ialah:</w:t>
      </w:r>
    </w:p>
    <w:p w:rsidR="00816C00" w:rsidRPr="008A359D" w:rsidRDefault="00816C00" w:rsidP="00816C00">
      <w:pPr>
        <w:pStyle w:val="ListParagraph"/>
        <w:numPr>
          <w:ilvl w:val="0"/>
          <w:numId w:val="7"/>
        </w:numPr>
        <w:pBdr>
          <w:top w:val="nil"/>
          <w:left w:val="nil"/>
          <w:bottom w:val="nil"/>
          <w:right w:val="nil"/>
          <w:between w:val="nil"/>
        </w:pBdr>
        <w:ind w:left="142" w:hanging="142"/>
        <w:jc w:val="both"/>
        <w:rPr>
          <w:sz w:val="20"/>
          <w:szCs w:val="20"/>
        </w:rPr>
      </w:pPr>
      <w:r w:rsidRPr="008A359D">
        <w:rPr>
          <w:sz w:val="20"/>
          <w:szCs w:val="20"/>
        </w:rPr>
        <w:t>Data harus berskala interval atau rasio</w:t>
      </w:r>
    </w:p>
    <w:p w:rsidR="00816C00" w:rsidRPr="008A359D" w:rsidRDefault="00816C00" w:rsidP="00816C00">
      <w:pPr>
        <w:pStyle w:val="ListParagraph"/>
        <w:numPr>
          <w:ilvl w:val="0"/>
          <w:numId w:val="7"/>
        </w:numPr>
        <w:pBdr>
          <w:top w:val="nil"/>
          <w:left w:val="nil"/>
          <w:bottom w:val="nil"/>
          <w:right w:val="nil"/>
          <w:between w:val="nil"/>
        </w:pBdr>
        <w:ind w:left="142" w:hanging="142"/>
        <w:jc w:val="both"/>
        <w:rPr>
          <w:sz w:val="20"/>
          <w:szCs w:val="20"/>
        </w:rPr>
      </w:pPr>
      <w:r w:rsidRPr="008A359D">
        <w:rPr>
          <w:sz w:val="20"/>
          <w:szCs w:val="20"/>
        </w:rPr>
        <w:t>Data harus berpasangan, yaitu data yang diukur pada subjek yang sama namun dengan perlakuan yang berbeda</w:t>
      </w:r>
    </w:p>
    <w:p w:rsidR="00816C00" w:rsidRPr="008A359D" w:rsidRDefault="00816C00" w:rsidP="00816C00">
      <w:pPr>
        <w:pStyle w:val="ListParagraph"/>
        <w:numPr>
          <w:ilvl w:val="0"/>
          <w:numId w:val="7"/>
        </w:numPr>
        <w:pBdr>
          <w:top w:val="nil"/>
          <w:left w:val="nil"/>
          <w:bottom w:val="nil"/>
          <w:right w:val="nil"/>
          <w:between w:val="nil"/>
        </w:pBdr>
        <w:ind w:left="142" w:hanging="142"/>
        <w:jc w:val="both"/>
        <w:rPr>
          <w:sz w:val="20"/>
          <w:szCs w:val="20"/>
        </w:rPr>
      </w:pPr>
      <w:r w:rsidRPr="008A359D">
        <w:rPr>
          <w:sz w:val="20"/>
          <w:szCs w:val="20"/>
        </w:rPr>
        <w:t>Data berdistribusi normal</w:t>
      </w:r>
    </w:p>
    <w:p w:rsidR="00816C00" w:rsidRPr="008A359D" w:rsidRDefault="00816C00" w:rsidP="00816C00">
      <w:pPr>
        <w:pStyle w:val="ListParagraph"/>
        <w:pBdr>
          <w:top w:val="nil"/>
          <w:left w:val="nil"/>
          <w:bottom w:val="nil"/>
          <w:right w:val="nil"/>
          <w:between w:val="nil"/>
        </w:pBdr>
        <w:ind w:left="142"/>
        <w:jc w:val="both"/>
        <w:rPr>
          <w:sz w:val="20"/>
          <w:szCs w:val="20"/>
        </w:rPr>
      </w:pPr>
    </w:p>
    <w:p w:rsidR="00816C00" w:rsidRPr="008A359D" w:rsidRDefault="00816C00" w:rsidP="00816C00">
      <w:pPr>
        <w:pBdr>
          <w:top w:val="nil"/>
          <w:left w:val="nil"/>
          <w:bottom w:val="nil"/>
          <w:right w:val="nil"/>
          <w:between w:val="nil"/>
        </w:pBdr>
        <w:ind w:firstLine="288"/>
        <w:jc w:val="both"/>
        <w:rPr>
          <w:sz w:val="20"/>
          <w:szCs w:val="20"/>
        </w:rPr>
      </w:pPr>
      <w:r w:rsidRPr="008A359D">
        <w:rPr>
          <w:sz w:val="20"/>
          <w:szCs w:val="20"/>
        </w:rPr>
        <w:t>Rumusan hipotesis penelitian :</w:t>
      </w:r>
    </w:p>
    <w:p w:rsidR="00816C00" w:rsidRPr="008A359D" w:rsidRDefault="00816C00" w:rsidP="00816C00">
      <w:pPr>
        <w:pStyle w:val="ListParagraph"/>
        <w:numPr>
          <w:ilvl w:val="0"/>
          <w:numId w:val="8"/>
        </w:numPr>
        <w:pBdr>
          <w:top w:val="nil"/>
          <w:left w:val="nil"/>
          <w:bottom w:val="nil"/>
          <w:right w:val="nil"/>
          <w:between w:val="nil"/>
        </w:pBdr>
        <w:ind w:left="142" w:hanging="142"/>
        <w:jc w:val="both"/>
        <w:rPr>
          <w:sz w:val="20"/>
          <w:szCs w:val="20"/>
        </w:rPr>
      </w:pPr>
      <w:r w:rsidRPr="008A359D">
        <w:rPr>
          <w:sz w:val="20"/>
          <w:szCs w:val="20"/>
        </w:rPr>
        <w:t>H0 = Tidak ada perbedaan antara tingkat kesehatan Bank Syariah Indonesia sebelum dan ketika serangan cyber</w:t>
      </w:r>
    </w:p>
    <w:p w:rsidR="00816C00" w:rsidRPr="008A359D" w:rsidRDefault="00816C00" w:rsidP="00816C00">
      <w:pPr>
        <w:pStyle w:val="ListParagraph"/>
        <w:numPr>
          <w:ilvl w:val="0"/>
          <w:numId w:val="8"/>
        </w:numPr>
        <w:pBdr>
          <w:top w:val="nil"/>
          <w:left w:val="nil"/>
          <w:bottom w:val="nil"/>
          <w:right w:val="nil"/>
          <w:between w:val="nil"/>
        </w:pBdr>
        <w:ind w:left="142" w:hanging="142"/>
        <w:jc w:val="both"/>
        <w:rPr>
          <w:sz w:val="20"/>
          <w:szCs w:val="20"/>
        </w:rPr>
      </w:pPr>
      <w:r w:rsidRPr="008A359D">
        <w:rPr>
          <w:sz w:val="20"/>
          <w:szCs w:val="20"/>
        </w:rPr>
        <w:t>Ha = Ada perbedaan antara tingkat kesehatan Bank Syariah Indonesia sebelum dan ketika serangan cyber</w:t>
      </w:r>
    </w:p>
    <w:p w:rsidR="00816C00" w:rsidRPr="008A359D" w:rsidRDefault="00816C00" w:rsidP="00816C00">
      <w:pPr>
        <w:pBdr>
          <w:top w:val="nil"/>
          <w:left w:val="nil"/>
          <w:bottom w:val="nil"/>
          <w:right w:val="nil"/>
          <w:between w:val="nil"/>
        </w:pBdr>
        <w:ind w:firstLine="288"/>
        <w:jc w:val="both"/>
        <w:rPr>
          <w:sz w:val="20"/>
          <w:szCs w:val="20"/>
        </w:rPr>
      </w:pPr>
      <w:r w:rsidRPr="008A359D">
        <w:rPr>
          <w:sz w:val="20"/>
          <w:szCs w:val="20"/>
        </w:rPr>
        <w:t>Dasar dari keputusan ini ialah :</w:t>
      </w:r>
    </w:p>
    <w:p w:rsidR="00816C00" w:rsidRPr="008A359D" w:rsidRDefault="00816C00" w:rsidP="00816C00">
      <w:pPr>
        <w:pStyle w:val="ListParagraph"/>
        <w:numPr>
          <w:ilvl w:val="0"/>
          <w:numId w:val="9"/>
        </w:numPr>
        <w:pBdr>
          <w:top w:val="nil"/>
          <w:left w:val="nil"/>
          <w:bottom w:val="nil"/>
          <w:right w:val="nil"/>
          <w:between w:val="nil"/>
        </w:pBdr>
        <w:ind w:left="142" w:hanging="142"/>
        <w:jc w:val="both"/>
        <w:rPr>
          <w:sz w:val="20"/>
          <w:szCs w:val="20"/>
        </w:rPr>
      </w:pPr>
      <w:r w:rsidRPr="008A359D">
        <w:rPr>
          <w:sz w:val="20"/>
          <w:szCs w:val="20"/>
        </w:rPr>
        <w:t>Jika nilai Sig. (2 tailed) &lt; 0,05; maka H0 ditolak dan Ha diterima</w:t>
      </w:r>
    </w:p>
    <w:p w:rsidR="00816C00" w:rsidRPr="008A359D" w:rsidRDefault="00816C00" w:rsidP="00816C00">
      <w:pPr>
        <w:pStyle w:val="ListParagraph"/>
        <w:numPr>
          <w:ilvl w:val="0"/>
          <w:numId w:val="9"/>
        </w:numPr>
        <w:pBdr>
          <w:top w:val="nil"/>
          <w:left w:val="nil"/>
          <w:bottom w:val="nil"/>
          <w:right w:val="nil"/>
          <w:between w:val="nil"/>
        </w:pBdr>
        <w:ind w:left="142" w:hanging="142"/>
        <w:jc w:val="both"/>
        <w:rPr>
          <w:sz w:val="20"/>
          <w:szCs w:val="20"/>
        </w:rPr>
      </w:pPr>
      <w:r w:rsidRPr="008A359D">
        <w:rPr>
          <w:sz w:val="20"/>
          <w:szCs w:val="20"/>
        </w:rPr>
        <w:t>Sebaliknya, jika nilai Sig. (2 tailed) &gt; 0,05; maka H0 diterima dan Ha ditolak</w:t>
      </w:r>
    </w:p>
    <w:p w:rsidR="00816C00" w:rsidRPr="008A359D" w:rsidRDefault="00816C00" w:rsidP="00816C00">
      <w:pPr>
        <w:pStyle w:val="Heading1"/>
        <w:numPr>
          <w:ilvl w:val="0"/>
          <w:numId w:val="3"/>
        </w:numPr>
        <w:tabs>
          <w:tab w:val="left" w:pos="0"/>
        </w:tabs>
        <w:rPr>
          <w:sz w:val="24"/>
          <w:szCs w:val="24"/>
        </w:rPr>
      </w:pPr>
      <w:r w:rsidRPr="008A359D">
        <w:rPr>
          <w:sz w:val="24"/>
          <w:szCs w:val="24"/>
        </w:rPr>
        <w:t>III. Hasil dan Pembahasan</w:t>
      </w:r>
    </w:p>
    <w:p w:rsidR="00816C00" w:rsidRPr="008A359D" w:rsidRDefault="00816C00" w:rsidP="00816C00">
      <w:pPr>
        <w:numPr>
          <w:ilvl w:val="0"/>
          <w:numId w:val="2"/>
        </w:numPr>
        <w:pBdr>
          <w:top w:val="nil"/>
          <w:left w:val="nil"/>
          <w:bottom w:val="nil"/>
          <w:right w:val="nil"/>
          <w:between w:val="nil"/>
        </w:pBdr>
        <w:ind w:left="426"/>
        <w:rPr>
          <w:b/>
          <w:sz w:val="20"/>
          <w:szCs w:val="20"/>
        </w:rPr>
      </w:pPr>
      <w:r w:rsidRPr="008A359D">
        <w:rPr>
          <w:b/>
          <w:sz w:val="20"/>
          <w:szCs w:val="20"/>
        </w:rPr>
        <w:t>Perhitungan Rasio CAMEL Bank Syariah Indonesia Sebelum dan Ketika Serangan Cyber</w:t>
      </w:r>
    </w:p>
    <w:p w:rsidR="00816C00" w:rsidRPr="008A359D" w:rsidRDefault="00816C00" w:rsidP="00816C00">
      <w:pPr>
        <w:pBdr>
          <w:top w:val="nil"/>
          <w:left w:val="nil"/>
          <w:bottom w:val="nil"/>
          <w:right w:val="nil"/>
          <w:between w:val="nil"/>
        </w:pBdr>
        <w:ind w:firstLine="288"/>
        <w:jc w:val="both"/>
        <w:rPr>
          <w:sz w:val="20"/>
          <w:szCs w:val="20"/>
        </w:rPr>
      </w:pPr>
      <w:r w:rsidRPr="008A359D">
        <w:rPr>
          <w:sz w:val="20"/>
          <w:szCs w:val="20"/>
        </w:rPr>
        <w:t>Berikut ini merupakan hasil perhitungan rasio CAMEL yang tersaji dalam tabel 4. Komponen rasio di dapat dari laporan keuangan bulanan bulan April 2023 &amp; Mei 2023.</w:t>
      </w:r>
    </w:p>
    <w:p w:rsidR="00816C00" w:rsidRPr="008A359D" w:rsidRDefault="00816C00" w:rsidP="00816C00">
      <w:pPr>
        <w:pStyle w:val="ListParagraph"/>
        <w:jc w:val="center"/>
        <w:rPr>
          <w:sz w:val="20"/>
          <w:szCs w:val="20"/>
        </w:rPr>
      </w:pPr>
      <w:r w:rsidRPr="008A359D">
        <w:rPr>
          <w:sz w:val="20"/>
          <w:szCs w:val="20"/>
        </w:rPr>
        <w:t xml:space="preserve"> Tabel 4. Perhitungan Rasio </w:t>
      </w:r>
      <w:r w:rsidRPr="008A359D">
        <w:rPr>
          <w:i/>
          <w:iCs/>
          <w:sz w:val="20"/>
          <w:szCs w:val="20"/>
        </w:rPr>
        <w:t>CAMEL</w:t>
      </w:r>
    </w:p>
    <w:tbl>
      <w:tblPr>
        <w:tblStyle w:val="TableGrid"/>
        <w:tblW w:w="8368"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3402"/>
        <w:gridCol w:w="856"/>
        <w:gridCol w:w="2268"/>
        <w:gridCol w:w="992"/>
      </w:tblGrid>
      <w:tr w:rsidR="00816C00" w:rsidRPr="008A359D" w:rsidTr="00581DB9">
        <w:tc>
          <w:tcPr>
            <w:tcW w:w="850" w:type="dxa"/>
            <w:tcBorders>
              <w:top w:val="single" w:sz="4" w:space="0" w:color="auto"/>
              <w:bottom w:val="single" w:sz="4" w:space="0" w:color="auto"/>
            </w:tcBorders>
          </w:tcPr>
          <w:p w:rsidR="00816C00" w:rsidRPr="008A359D" w:rsidRDefault="00816C00" w:rsidP="00581DB9">
            <w:pPr>
              <w:pStyle w:val="ListParagraph"/>
              <w:ind w:left="0"/>
              <w:jc w:val="center"/>
              <w:rPr>
                <w:sz w:val="20"/>
                <w:szCs w:val="20"/>
              </w:rPr>
            </w:pPr>
            <w:proofErr w:type="spellStart"/>
            <w:r w:rsidRPr="008A359D">
              <w:rPr>
                <w:sz w:val="20"/>
                <w:szCs w:val="20"/>
              </w:rPr>
              <w:t>Rasio</w:t>
            </w:r>
            <w:proofErr w:type="spellEnd"/>
          </w:p>
        </w:tc>
        <w:tc>
          <w:tcPr>
            <w:tcW w:w="3402" w:type="dxa"/>
            <w:tcBorders>
              <w:top w:val="single" w:sz="4" w:space="0" w:color="auto"/>
              <w:bottom w:val="single" w:sz="4" w:space="0" w:color="auto"/>
            </w:tcBorders>
          </w:tcPr>
          <w:p w:rsidR="00816C00" w:rsidRPr="008A359D" w:rsidRDefault="00816C00" w:rsidP="00581DB9">
            <w:pPr>
              <w:pStyle w:val="ListParagraph"/>
              <w:ind w:left="0"/>
              <w:jc w:val="center"/>
              <w:rPr>
                <w:sz w:val="20"/>
                <w:szCs w:val="20"/>
              </w:rPr>
            </w:pPr>
            <w:proofErr w:type="spellStart"/>
            <w:r w:rsidRPr="008A359D">
              <w:rPr>
                <w:sz w:val="20"/>
                <w:szCs w:val="20"/>
              </w:rPr>
              <w:t>Rumus</w:t>
            </w:r>
            <w:proofErr w:type="spellEnd"/>
          </w:p>
        </w:tc>
        <w:tc>
          <w:tcPr>
            <w:tcW w:w="3124" w:type="dxa"/>
            <w:gridSpan w:val="2"/>
            <w:tcBorders>
              <w:top w:val="single" w:sz="4" w:space="0" w:color="auto"/>
              <w:bottom w:val="single" w:sz="4" w:space="0" w:color="auto"/>
            </w:tcBorders>
          </w:tcPr>
          <w:p w:rsidR="00816C00" w:rsidRPr="008A359D" w:rsidRDefault="00816C00" w:rsidP="00581DB9">
            <w:pPr>
              <w:pStyle w:val="ListParagraph"/>
              <w:ind w:left="0"/>
              <w:jc w:val="center"/>
              <w:rPr>
                <w:sz w:val="20"/>
                <w:szCs w:val="20"/>
              </w:rPr>
            </w:pPr>
            <w:proofErr w:type="spellStart"/>
            <w:r w:rsidRPr="008A359D">
              <w:rPr>
                <w:sz w:val="20"/>
                <w:szCs w:val="20"/>
              </w:rPr>
              <w:t>Perhitungan</w:t>
            </w:r>
            <w:proofErr w:type="spellEnd"/>
          </w:p>
        </w:tc>
        <w:tc>
          <w:tcPr>
            <w:tcW w:w="992" w:type="dxa"/>
            <w:tcBorders>
              <w:top w:val="single" w:sz="4" w:space="0" w:color="auto"/>
              <w:bottom w:val="single" w:sz="4" w:space="0" w:color="auto"/>
            </w:tcBorders>
          </w:tcPr>
          <w:p w:rsidR="00816C00" w:rsidRPr="008A359D" w:rsidRDefault="00816C00" w:rsidP="00581DB9">
            <w:pPr>
              <w:pStyle w:val="ListParagraph"/>
              <w:ind w:left="0"/>
              <w:jc w:val="center"/>
              <w:rPr>
                <w:sz w:val="20"/>
                <w:szCs w:val="20"/>
              </w:rPr>
            </w:pPr>
            <w:r w:rsidRPr="008A359D">
              <w:rPr>
                <w:sz w:val="20"/>
                <w:szCs w:val="20"/>
              </w:rPr>
              <w:t>Hasil (%)</w:t>
            </w:r>
          </w:p>
        </w:tc>
      </w:tr>
      <w:tr w:rsidR="00816C00" w:rsidRPr="008A359D" w:rsidTr="00581DB9">
        <w:tc>
          <w:tcPr>
            <w:tcW w:w="850" w:type="dxa"/>
            <w:vMerge w:val="restart"/>
            <w:tcBorders>
              <w:top w:val="single" w:sz="4" w:space="0" w:color="auto"/>
            </w:tcBorders>
          </w:tcPr>
          <w:p w:rsidR="00816C00" w:rsidRPr="008A359D" w:rsidRDefault="00816C00" w:rsidP="00581DB9">
            <w:pPr>
              <w:pStyle w:val="ListParagraph"/>
              <w:ind w:left="0"/>
              <w:jc w:val="center"/>
              <w:rPr>
                <w:sz w:val="20"/>
                <w:szCs w:val="20"/>
              </w:rPr>
            </w:pPr>
            <w:r w:rsidRPr="008A359D">
              <w:rPr>
                <w:i/>
                <w:iCs/>
                <w:sz w:val="20"/>
                <w:szCs w:val="20"/>
              </w:rPr>
              <w:t>CAR</w:t>
            </w:r>
          </w:p>
        </w:tc>
        <w:tc>
          <w:tcPr>
            <w:tcW w:w="3402" w:type="dxa"/>
            <w:vMerge w:val="restart"/>
            <w:tcBorders>
              <w:top w:val="single" w:sz="4" w:space="0" w:color="auto"/>
            </w:tcBorders>
          </w:tcPr>
          <w:p w:rsidR="00816C00" w:rsidRPr="008A359D" w:rsidRDefault="00000000" w:rsidP="00581DB9">
            <w:pPr>
              <w:pStyle w:val="ListParagraph"/>
              <w:ind w:left="0"/>
              <w:rPr>
                <w:sz w:val="20"/>
                <w:szCs w:val="20"/>
              </w:rPr>
            </w:pPr>
            <m:oMathPara>
              <m:oMath>
                <m:f>
                  <m:fPr>
                    <m:ctrlPr>
                      <w:rPr>
                        <w:rFonts w:ascii="Cambria Math" w:hAnsi="Cambria Math"/>
                        <w:sz w:val="20"/>
                        <w:szCs w:val="20"/>
                      </w:rPr>
                    </m:ctrlPr>
                  </m:fPr>
                  <m:num>
                    <m:r>
                      <w:rPr>
                        <w:rFonts w:ascii="Cambria Math" w:hAnsi="Cambria Math"/>
                        <w:sz w:val="20"/>
                        <w:szCs w:val="20"/>
                      </w:rPr>
                      <m:t>Modal bank</m:t>
                    </m:r>
                  </m:num>
                  <m:den>
                    <m:r>
                      <m:rPr>
                        <m:sty m:val="p"/>
                      </m:rPr>
                      <w:rPr>
                        <w:rFonts w:ascii="Cambria Math" w:hAnsi="Cambria Math"/>
                        <w:sz w:val="20"/>
                        <w:szCs w:val="20"/>
                      </w:rPr>
                      <m:t>ATMR</m:t>
                    </m:r>
                  </m:den>
                </m:f>
                <m:r>
                  <w:rPr>
                    <w:rFonts w:ascii="Cambria Math" w:hAnsi="Cambria Math"/>
                    <w:sz w:val="20"/>
                    <w:szCs w:val="20"/>
                  </w:rPr>
                  <m:t>x 100%</m:t>
                </m:r>
              </m:oMath>
            </m:oMathPara>
          </w:p>
        </w:tc>
        <w:tc>
          <w:tcPr>
            <w:tcW w:w="856" w:type="dxa"/>
            <w:tcBorders>
              <w:top w:val="single" w:sz="4" w:space="0" w:color="auto"/>
            </w:tcBorders>
          </w:tcPr>
          <w:p w:rsidR="00816C00" w:rsidRPr="008A359D" w:rsidRDefault="00816C00" w:rsidP="00581DB9">
            <w:pPr>
              <w:pStyle w:val="ListParagraph"/>
              <w:ind w:left="0"/>
              <w:rPr>
                <w:sz w:val="20"/>
                <w:szCs w:val="20"/>
              </w:rPr>
            </w:pPr>
            <w:r w:rsidRPr="008A359D">
              <w:rPr>
                <w:sz w:val="20"/>
                <w:szCs w:val="20"/>
              </w:rPr>
              <w:t>Apr ‘23</w:t>
            </w:r>
          </w:p>
        </w:tc>
        <w:tc>
          <w:tcPr>
            <w:tcW w:w="2268" w:type="dxa"/>
            <w:tcBorders>
              <w:top w:val="single" w:sz="4" w:space="0" w:color="auto"/>
            </w:tcBorders>
          </w:tcPr>
          <w:p w:rsidR="00816C00" w:rsidRPr="008A359D" w:rsidRDefault="00000000" w:rsidP="00581DB9">
            <w:pPr>
              <w:pStyle w:val="ListParagraph"/>
              <w:ind w:left="0"/>
              <w:rPr>
                <w:sz w:val="20"/>
                <w:szCs w:val="20"/>
              </w:rPr>
            </w:pPr>
            <m:oMathPara>
              <m:oMath>
                <m:f>
                  <m:fPr>
                    <m:ctrlPr>
                      <w:rPr>
                        <w:rFonts w:ascii="Cambria Math" w:hAnsi="Cambria Math"/>
                        <w:sz w:val="20"/>
                        <w:szCs w:val="20"/>
                      </w:rPr>
                    </m:ctrlPr>
                  </m:fPr>
                  <m:num>
                    <m:r>
                      <w:rPr>
                        <w:rFonts w:ascii="Cambria Math" w:hAnsi="Cambria Math"/>
                        <w:sz w:val="20"/>
                        <w:szCs w:val="20"/>
                      </w:rPr>
                      <m:t>35.492.569</m:t>
                    </m:r>
                  </m:num>
                  <m:den>
                    <m:r>
                      <w:rPr>
                        <w:rFonts w:ascii="Cambria Math" w:hAnsi="Cambria Math"/>
                        <w:sz w:val="20"/>
                        <w:szCs w:val="20"/>
                      </w:rPr>
                      <m:t>224.697.755</m:t>
                    </m:r>
                  </m:den>
                </m:f>
                <m:r>
                  <w:rPr>
                    <w:rFonts w:ascii="Cambria Math" w:hAnsi="Cambria Math"/>
                    <w:sz w:val="20"/>
                    <w:szCs w:val="20"/>
                  </w:rPr>
                  <m:t>x 100%</m:t>
                </m:r>
              </m:oMath>
            </m:oMathPara>
          </w:p>
        </w:tc>
        <w:tc>
          <w:tcPr>
            <w:tcW w:w="992" w:type="dxa"/>
            <w:tcBorders>
              <w:top w:val="single" w:sz="4" w:space="0" w:color="auto"/>
            </w:tcBorders>
          </w:tcPr>
          <w:p w:rsidR="00816C00" w:rsidRPr="008A359D" w:rsidRDefault="00816C00" w:rsidP="00581DB9">
            <w:pPr>
              <w:pStyle w:val="ListParagraph"/>
              <w:ind w:left="0"/>
              <w:jc w:val="right"/>
              <w:rPr>
                <w:sz w:val="20"/>
                <w:szCs w:val="20"/>
              </w:rPr>
            </w:pPr>
            <w:r w:rsidRPr="008A359D">
              <w:rPr>
                <w:sz w:val="20"/>
                <w:szCs w:val="20"/>
              </w:rPr>
              <w:t>15,80</w:t>
            </w:r>
          </w:p>
          <w:p w:rsidR="00816C00" w:rsidRPr="008A359D" w:rsidRDefault="00816C00" w:rsidP="00581DB9">
            <w:pPr>
              <w:pStyle w:val="ListParagraph"/>
              <w:ind w:left="0"/>
              <w:jc w:val="right"/>
              <w:rPr>
                <w:sz w:val="20"/>
                <w:szCs w:val="20"/>
              </w:rPr>
            </w:pPr>
          </w:p>
          <w:p w:rsidR="00816C00" w:rsidRPr="008A359D" w:rsidRDefault="00816C00" w:rsidP="00581DB9">
            <w:pPr>
              <w:pStyle w:val="ListParagraph"/>
              <w:ind w:left="0"/>
              <w:jc w:val="right"/>
              <w:rPr>
                <w:sz w:val="10"/>
                <w:szCs w:val="10"/>
              </w:rPr>
            </w:pPr>
          </w:p>
        </w:tc>
      </w:tr>
      <w:tr w:rsidR="00816C00" w:rsidRPr="008A359D" w:rsidTr="005C03F6">
        <w:tc>
          <w:tcPr>
            <w:tcW w:w="850" w:type="dxa"/>
            <w:vMerge/>
          </w:tcPr>
          <w:p w:rsidR="00816C00" w:rsidRPr="008A359D" w:rsidRDefault="00816C00" w:rsidP="00581DB9">
            <w:pPr>
              <w:pStyle w:val="ListParagraph"/>
              <w:ind w:left="0"/>
              <w:jc w:val="center"/>
              <w:rPr>
                <w:sz w:val="20"/>
                <w:szCs w:val="20"/>
              </w:rPr>
            </w:pPr>
          </w:p>
        </w:tc>
        <w:tc>
          <w:tcPr>
            <w:tcW w:w="3402" w:type="dxa"/>
            <w:vMerge/>
          </w:tcPr>
          <w:p w:rsidR="00816C00" w:rsidRPr="008A359D" w:rsidRDefault="00816C00" w:rsidP="00581DB9">
            <w:pPr>
              <w:pStyle w:val="ListParagraph"/>
              <w:ind w:left="0"/>
              <w:rPr>
                <w:sz w:val="20"/>
                <w:szCs w:val="20"/>
              </w:rPr>
            </w:pPr>
          </w:p>
        </w:tc>
        <w:tc>
          <w:tcPr>
            <w:tcW w:w="856" w:type="dxa"/>
          </w:tcPr>
          <w:p w:rsidR="00816C00" w:rsidRPr="008A359D" w:rsidRDefault="00816C00" w:rsidP="00581DB9">
            <w:pPr>
              <w:pStyle w:val="ListParagraph"/>
              <w:ind w:left="0"/>
              <w:rPr>
                <w:sz w:val="20"/>
                <w:szCs w:val="20"/>
              </w:rPr>
            </w:pPr>
            <w:r w:rsidRPr="008A359D">
              <w:rPr>
                <w:sz w:val="20"/>
                <w:szCs w:val="20"/>
              </w:rPr>
              <w:t>Mei ‘23</w:t>
            </w:r>
          </w:p>
        </w:tc>
        <w:tc>
          <w:tcPr>
            <w:tcW w:w="2268" w:type="dxa"/>
          </w:tcPr>
          <w:p w:rsidR="00816C00" w:rsidRPr="008A359D" w:rsidRDefault="00000000" w:rsidP="00581DB9">
            <w:pPr>
              <w:pStyle w:val="ListParagraph"/>
              <w:ind w:left="0"/>
              <w:rPr>
                <w:rFonts w:eastAsiaTheme="minorEastAsia"/>
                <w:sz w:val="20"/>
                <w:szCs w:val="20"/>
              </w:rPr>
            </w:pPr>
            <m:oMathPara>
              <m:oMath>
                <m:f>
                  <m:fPr>
                    <m:ctrlPr>
                      <w:rPr>
                        <w:rFonts w:ascii="Cambria Math" w:hAnsi="Cambria Math"/>
                        <w:sz w:val="20"/>
                        <w:szCs w:val="20"/>
                      </w:rPr>
                    </m:ctrlPr>
                  </m:fPr>
                  <m:num>
                    <m:r>
                      <w:rPr>
                        <w:rFonts w:ascii="Cambria Math" w:hAnsi="Cambria Math"/>
                        <w:sz w:val="20"/>
                        <w:szCs w:val="20"/>
                      </w:rPr>
                      <m:t>35.502.013</m:t>
                    </m:r>
                  </m:num>
                  <m:den>
                    <m:r>
                      <w:rPr>
                        <w:rFonts w:ascii="Cambria Math" w:hAnsi="Cambria Math"/>
                        <w:sz w:val="20"/>
                        <w:szCs w:val="20"/>
                      </w:rPr>
                      <m:t>219.818.230</m:t>
                    </m:r>
                  </m:den>
                </m:f>
                <m:r>
                  <w:rPr>
                    <w:rFonts w:ascii="Cambria Math" w:hAnsi="Cambria Math"/>
                    <w:sz w:val="20"/>
                    <w:szCs w:val="20"/>
                  </w:rPr>
                  <m:t>x 100%</m:t>
                </m:r>
              </m:oMath>
            </m:oMathPara>
          </w:p>
        </w:tc>
        <w:tc>
          <w:tcPr>
            <w:tcW w:w="992" w:type="dxa"/>
          </w:tcPr>
          <w:p w:rsidR="00816C00" w:rsidRPr="008A359D" w:rsidRDefault="00816C00" w:rsidP="00581DB9">
            <w:pPr>
              <w:pStyle w:val="ListParagraph"/>
              <w:ind w:left="0"/>
              <w:jc w:val="right"/>
              <w:rPr>
                <w:sz w:val="20"/>
                <w:szCs w:val="20"/>
              </w:rPr>
            </w:pPr>
            <w:r w:rsidRPr="008A359D">
              <w:rPr>
                <w:sz w:val="20"/>
                <w:szCs w:val="20"/>
              </w:rPr>
              <w:t>16,15</w:t>
            </w:r>
          </w:p>
          <w:p w:rsidR="00816C00" w:rsidRPr="008A359D" w:rsidRDefault="00816C00" w:rsidP="00581DB9">
            <w:pPr>
              <w:pStyle w:val="ListParagraph"/>
              <w:ind w:left="0"/>
              <w:jc w:val="right"/>
              <w:rPr>
                <w:sz w:val="10"/>
                <w:szCs w:val="10"/>
              </w:rPr>
            </w:pPr>
          </w:p>
          <w:p w:rsidR="00816C00" w:rsidRPr="008A359D" w:rsidRDefault="00816C00" w:rsidP="00581DB9">
            <w:pPr>
              <w:pStyle w:val="ListParagraph"/>
              <w:ind w:left="0"/>
              <w:jc w:val="right"/>
              <w:rPr>
                <w:sz w:val="20"/>
                <w:szCs w:val="20"/>
              </w:rPr>
            </w:pPr>
          </w:p>
        </w:tc>
      </w:tr>
      <w:tr w:rsidR="00816C00" w:rsidRPr="008A359D" w:rsidTr="005C03F6">
        <w:tc>
          <w:tcPr>
            <w:tcW w:w="850" w:type="dxa"/>
            <w:vMerge w:val="restart"/>
          </w:tcPr>
          <w:p w:rsidR="00816C00" w:rsidRPr="008A359D" w:rsidRDefault="00816C00" w:rsidP="00581DB9">
            <w:pPr>
              <w:pStyle w:val="ListParagraph"/>
              <w:ind w:left="0"/>
              <w:jc w:val="center"/>
              <w:rPr>
                <w:sz w:val="20"/>
                <w:szCs w:val="20"/>
              </w:rPr>
            </w:pPr>
            <w:r w:rsidRPr="008A359D">
              <w:rPr>
                <w:i/>
                <w:iCs/>
                <w:sz w:val="20"/>
                <w:szCs w:val="20"/>
              </w:rPr>
              <w:t>ROA</w:t>
            </w:r>
          </w:p>
        </w:tc>
        <w:tc>
          <w:tcPr>
            <w:tcW w:w="3402" w:type="dxa"/>
            <w:vMerge w:val="restart"/>
          </w:tcPr>
          <w:p w:rsidR="00816C00" w:rsidRPr="008A359D" w:rsidRDefault="00000000" w:rsidP="00581DB9">
            <w:pPr>
              <w:pStyle w:val="ListParagraph"/>
              <w:ind w:left="0"/>
              <w:rPr>
                <w:sz w:val="20"/>
                <w:szCs w:val="20"/>
              </w:rPr>
            </w:pPr>
            <m:oMathPara>
              <m:oMath>
                <m:f>
                  <m:fPr>
                    <m:ctrlPr>
                      <w:rPr>
                        <w:rFonts w:ascii="Cambria Math" w:hAnsi="Cambria Math"/>
                        <w:sz w:val="20"/>
                        <w:szCs w:val="20"/>
                      </w:rPr>
                    </m:ctrlPr>
                  </m:fPr>
                  <m:num>
                    <m:r>
                      <w:rPr>
                        <w:rFonts w:ascii="Cambria Math" w:hAnsi="Cambria Math"/>
                        <w:sz w:val="20"/>
                        <w:szCs w:val="20"/>
                      </w:rPr>
                      <m:t>Laba Bersih Sebelum Pajak</m:t>
                    </m:r>
                  </m:num>
                  <m:den>
                    <m:r>
                      <w:rPr>
                        <w:rFonts w:ascii="Cambria Math" w:hAnsi="Cambria Math"/>
                        <w:sz w:val="20"/>
                        <w:szCs w:val="20"/>
                      </w:rPr>
                      <m:t>Total Aset</m:t>
                    </m:r>
                  </m:den>
                </m:f>
                <m:r>
                  <w:rPr>
                    <w:rFonts w:ascii="Cambria Math" w:hAnsi="Cambria Math"/>
                    <w:sz w:val="20"/>
                    <w:szCs w:val="20"/>
                  </w:rPr>
                  <m:t>x 100%</m:t>
                </m:r>
              </m:oMath>
            </m:oMathPara>
          </w:p>
        </w:tc>
        <w:tc>
          <w:tcPr>
            <w:tcW w:w="856" w:type="dxa"/>
          </w:tcPr>
          <w:p w:rsidR="00816C00" w:rsidRPr="008A359D" w:rsidRDefault="00816C00" w:rsidP="00581DB9">
            <w:pPr>
              <w:pStyle w:val="ListParagraph"/>
              <w:ind w:left="0"/>
              <w:rPr>
                <w:sz w:val="20"/>
                <w:szCs w:val="20"/>
              </w:rPr>
            </w:pPr>
            <w:r w:rsidRPr="008A359D">
              <w:rPr>
                <w:sz w:val="20"/>
                <w:szCs w:val="20"/>
              </w:rPr>
              <w:t>Apr ‘23</w:t>
            </w:r>
          </w:p>
        </w:tc>
        <w:tc>
          <w:tcPr>
            <w:tcW w:w="2268" w:type="dxa"/>
          </w:tcPr>
          <w:p w:rsidR="00816C00" w:rsidRPr="008A359D" w:rsidRDefault="00000000" w:rsidP="00581DB9">
            <w:pPr>
              <w:pStyle w:val="ListParagraph"/>
              <w:ind w:left="0"/>
              <w:rPr>
                <w:sz w:val="20"/>
                <w:szCs w:val="20"/>
              </w:rPr>
            </w:pPr>
            <m:oMathPara>
              <m:oMath>
                <m:f>
                  <m:fPr>
                    <m:ctrlPr>
                      <w:rPr>
                        <w:rFonts w:ascii="Cambria Math" w:hAnsi="Cambria Math"/>
                        <w:sz w:val="20"/>
                        <w:szCs w:val="20"/>
                      </w:rPr>
                    </m:ctrlPr>
                  </m:fPr>
                  <m:num>
                    <m:r>
                      <w:rPr>
                        <w:rFonts w:ascii="Cambria Math" w:hAnsi="Cambria Math"/>
                        <w:sz w:val="20"/>
                        <w:szCs w:val="20"/>
                      </w:rPr>
                      <m:t>2.514.234</m:t>
                    </m:r>
                  </m:num>
                  <m:den>
                    <m:r>
                      <w:rPr>
                        <w:rFonts w:ascii="Cambria Math" w:hAnsi="Cambria Math"/>
                        <w:sz w:val="20"/>
                        <w:szCs w:val="20"/>
                      </w:rPr>
                      <m:t>313.260.138</m:t>
                    </m:r>
                  </m:den>
                </m:f>
                <m:r>
                  <w:rPr>
                    <w:rFonts w:ascii="Cambria Math" w:hAnsi="Cambria Math"/>
                    <w:sz w:val="20"/>
                    <w:szCs w:val="20"/>
                  </w:rPr>
                  <m:t>x 100%</m:t>
                </m:r>
              </m:oMath>
            </m:oMathPara>
          </w:p>
        </w:tc>
        <w:tc>
          <w:tcPr>
            <w:tcW w:w="992" w:type="dxa"/>
          </w:tcPr>
          <w:p w:rsidR="00816C00" w:rsidRPr="008A359D" w:rsidRDefault="00816C00" w:rsidP="00581DB9">
            <w:pPr>
              <w:pStyle w:val="ListParagraph"/>
              <w:ind w:left="0"/>
              <w:jc w:val="right"/>
              <w:rPr>
                <w:sz w:val="20"/>
                <w:szCs w:val="20"/>
              </w:rPr>
            </w:pPr>
            <w:r w:rsidRPr="008A359D">
              <w:rPr>
                <w:sz w:val="20"/>
                <w:szCs w:val="20"/>
              </w:rPr>
              <w:t>0,80</w:t>
            </w:r>
          </w:p>
          <w:p w:rsidR="00816C00" w:rsidRPr="008A359D" w:rsidRDefault="00816C00" w:rsidP="00581DB9">
            <w:pPr>
              <w:pStyle w:val="ListParagraph"/>
              <w:ind w:left="0"/>
              <w:jc w:val="right"/>
              <w:rPr>
                <w:sz w:val="10"/>
                <w:szCs w:val="10"/>
              </w:rPr>
            </w:pPr>
          </w:p>
          <w:p w:rsidR="00816C00" w:rsidRPr="008A359D" w:rsidRDefault="00816C00" w:rsidP="00581DB9">
            <w:pPr>
              <w:pStyle w:val="ListParagraph"/>
              <w:ind w:left="0"/>
              <w:jc w:val="right"/>
              <w:rPr>
                <w:sz w:val="20"/>
                <w:szCs w:val="20"/>
              </w:rPr>
            </w:pPr>
          </w:p>
        </w:tc>
      </w:tr>
      <w:tr w:rsidR="00816C00" w:rsidRPr="008A359D" w:rsidTr="005C03F6">
        <w:tc>
          <w:tcPr>
            <w:tcW w:w="850" w:type="dxa"/>
            <w:vMerge/>
          </w:tcPr>
          <w:p w:rsidR="00816C00" w:rsidRPr="008A359D" w:rsidRDefault="00816C00" w:rsidP="00581DB9">
            <w:pPr>
              <w:pStyle w:val="ListParagraph"/>
              <w:ind w:left="0"/>
              <w:jc w:val="center"/>
              <w:rPr>
                <w:sz w:val="20"/>
                <w:szCs w:val="20"/>
              </w:rPr>
            </w:pPr>
          </w:p>
        </w:tc>
        <w:tc>
          <w:tcPr>
            <w:tcW w:w="3402" w:type="dxa"/>
            <w:vMerge/>
          </w:tcPr>
          <w:p w:rsidR="00816C00" w:rsidRPr="008A359D" w:rsidRDefault="00816C00" w:rsidP="00581DB9">
            <w:pPr>
              <w:pStyle w:val="ListParagraph"/>
              <w:ind w:left="0"/>
              <w:rPr>
                <w:sz w:val="20"/>
                <w:szCs w:val="20"/>
              </w:rPr>
            </w:pPr>
          </w:p>
        </w:tc>
        <w:tc>
          <w:tcPr>
            <w:tcW w:w="856" w:type="dxa"/>
          </w:tcPr>
          <w:p w:rsidR="00816C00" w:rsidRPr="008A359D" w:rsidRDefault="00816C00" w:rsidP="00581DB9">
            <w:pPr>
              <w:pStyle w:val="ListParagraph"/>
              <w:ind w:left="0"/>
              <w:rPr>
                <w:sz w:val="20"/>
                <w:szCs w:val="20"/>
              </w:rPr>
            </w:pPr>
            <w:r w:rsidRPr="008A359D">
              <w:rPr>
                <w:sz w:val="20"/>
                <w:szCs w:val="20"/>
              </w:rPr>
              <w:t>Mei ‘23</w:t>
            </w:r>
          </w:p>
        </w:tc>
        <w:tc>
          <w:tcPr>
            <w:tcW w:w="2268" w:type="dxa"/>
          </w:tcPr>
          <w:p w:rsidR="00816C00" w:rsidRPr="008A359D" w:rsidRDefault="00000000" w:rsidP="00581DB9">
            <w:pPr>
              <w:pStyle w:val="ListParagraph"/>
              <w:ind w:left="0"/>
              <w:rPr>
                <w:rFonts w:eastAsiaTheme="minorEastAsia"/>
                <w:sz w:val="20"/>
                <w:szCs w:val="20"/>
              </w:rPr>
            </w:pPr>
            <m:oMathPara>
              <m:oMath>
                <m:f>
                  <m:fPr>
                    <m:ctrlPr>
                      <w:rPr>
                        <w:rFonts w:ascii="Cambria Math" w:hAnsi="Cambria Math"/>
                        <w:sz w:val="20"/>
                        <w:szCs w:val="20"/>
                      </w:rPr>
                    </m:ctrlPr>
                  </m:fPr>
                  <m:num>
                    <m:r>
                      <w:rPr>
                        <w:rFonts w:ascii="Cambria Math" w:hAnsi="Cambria Math"/>
                        <w:sz w:val="20"/>
                        <w:szCs w:val="20"/>
                      </w:rPr>
                      <m:t>3.017.692</m:t>
                    </m:r>
                  </m:num>
                  <m:den>
                    <m:r>
                      <w:rPr>
                        <w:rFonts w:ascii="Cambria Math" w:hAnsi="Cambria Math"/>
                        <w:sz w:val="20"/>
                        <w:szCs w:val="20"/>
                      </w:rPr>
                      <m:t>310.600.154</m:t>
                    </m:r>
                  </m:den>
                </m:f>
                <m:r>
                  <w:rPr>
                    <w:rFonts w:ascii="Cambria Math" w:hAnsi="Cambria Math"/>
                    <w:sz w:val="20"/>
                    <w:szCs w:val="20"/>
                  </w:rPr>
                  <m:t>x 100%</m:t>
                </m:r>
              </m:oMath>
            </m:oMathPara>
          </w:p>
        </w:tc>
        <w:tc>
          <w:tcPr>
            <w:tcW w:w="992" w:type="dxa"/>
          </w:tcPr>
          <w:p w:rsidR="00816C00" w:rsidRPr="008A359D" w:rsidRDefault="00816C00" w:rsidP="00581DB9">
            <w:pPr>
              <w:pStyle w:val="ListParagraph"/>
              <w:ind w:left="0"/>
              <w:jc w:val="right"/>
              <w:rPr>
                <w:sz w:val="20"/>
                <w:szCs w:val="20"/>
              </w:rPr>
            </w:pPr>
            <w:r w:rsidRPr="008A359D">
              <w:rPr>
                <w:sz w:val="20"/>
                <w:szCs w:val="20"/>
              </w:rPr>
              <w:t>0,97</w:t>
            </w:r>
          </w:p>
          <w:p w:rsidR="00816C00" w:rsidRPr="008A359D" w:rsidRDefault="00816C00" w:rsidP="00581DB9">
            <w:pPr>
              <w:pStyle w:val="ListParagraph"/>
              <w:ind w:left="0"/>
              <w:jc w:val="right"/>
              <w:rPr>
                <w:sz w:val="20"/>
                <w:szCs w:val="20"/>
              </w:rPr>
            </w:pPr>
          </w:p>
          <w:p w:rsidR="00816C00" w:rsidRPr="008A359D" w:rsidRDefault="00816C00" w:rsidP="00581DB9">
            <w:pPr>
              <w:pStyle w:val="ListParagraph"/>
              <w:ind w:left="0"/>
              <w:jc w:val="right"/>
              <w:rPr>
                <w:sz w:val="10"/>
                <w:szCs w:val="10"/>
              </w:rPr>
            </w:pPr>
          </w:p>
        </w:tc>
      </w:tr>
      <w:tr w:rsidR="00816C00" w:rsidRPr="008A359D" w:rsidTr="005C03F6">
        <w:tc>
          <w:tcPr>
            <w:tcW w:w="850" w:type="dxa"/>
            <w:vMerge w:val="restart"/>
          </w:tcPr>
          <w:p w:rsidR="00816C00" w:rsidRPr="008A359D" w:rsidRDefault="00816C00" w:rsidP="00581DB9">
            <w:pPr>
              <w:pStyle w:val="ListParagraph"/>
              <w:ind w:left="0"/>
              <w:jc w:val="center"/>
              <w:rPr>
                <w:sz w:val="20"/>
                <w:szCs w:val="20"/>
              </w:rPr>
            </w:pPr>
            <w:r w:rsidRPr="008A359D">
              <w:rPr>
                <w:i/>
                <w:iCs/>
                <w:sz w:val="20"/>
                <w:szCs w:val="20"/>
              </w:rPr>
              <w:t>NPM</w:t>
            </w:r>
          </w:p>
        </w:tc>
        <w:tc>
          <w:tcPr>
            <w:tcW w:w="3402" w:type="dxa"/>
            <w:vMerge w:val="restart"/>
          </w:tcPr>
          <w:p w:rsidR="00816C00" w:rsidRPr="008A359D" w:rsidRDefault="00000000" w:rsidP="00581DB9">
            <w:pPr>
              <w:pStyle w:val="ListParagraph"/>
              <w:ind w:left="0"/>
              <w:rPr>
                <w:sz w:val="20"/>
                <w:szCs w:val="20"/>
              </w:rPr>
            </w:pPr>
            <m:oMathPara>
              <m:oMath>
                <m:f>
                  <m:fPr>
                    <m:ctrlPr>
                      <w:rPr>
                        <w:rFonts w:ascii="Cambria Math" w:hAnsi="Cambria Math"/>
                        <w:sz w:val="20"/>
                        <w:szCs w:val="20"/>
                      </w:rPr>
                    </m:ctrlPr>
                  </m:fPr>
                  <m:num>
                    <m:r>
                      <w:rPr>
                        <w:rFonts w:ascii="Cambria Math" w:hAnsi="Cambria Math"/>
                        <w:sz w:val="20"/>
                        <w:szCs w:val="20"/>
                      </w:rPr>
                      <m:t>Laba Bersih</m:t>
                    </m:r>
                  </m:num>
                  <m:den>
                    <m:r>
                      <w:rPr>
                        <w:rFonts w:ascii="Cambria Math" w:hAnsi="Cambria Math"/>
                        <w:sz w:val="20"/>
                        <w:szCs w:val="20"/>
                      </w:rPr>
                      <m:t>Pendapatan Bersih</m:t>
                    </m:r>
                  </m:den>
                </m:f>
                <m:r>
                  <w:rPr>
                    <w:rFonts w:ascii="Cambria Math" w:hAnsi="Cambria Math"/>
                    <w:sz w:val="20"/>
                    <w:szCs w:val="20"/>
                  </w:rPr>
                  <m:t>x 100%</m:t>
                </m:r>
              </m:oMath>
            </m:oMathPara>
          </w:p>
        </w:tc>
        <w:tc>
          <w:tcPr>
            <w:tcW w:w="856" w:type="dxa"/>
          </w:tcPr>
          <w:p w:rsidR="00816C00" w:rsidRPr="008A359D" w:rsidRDefault="00816C00" w:rsidP="00581DB9">
            <w:pPr>
              <w:pStyle w:val="ListParagraph"/>
              <w:ind w:left="0"/>
              <w:rPr>
                <w:sz w:val="20"/>
                <w:szCs w:val="20"/>
              </w:rPr>
            </w:pPr>
            <w:r w:rsidRPr="008A359D">
              <w:rPr>
                <w:sz w:val="20"/>
                <w:szCs w:val="20"/>
              </w:rPr>
              <w:t>Apr ‘23</w:t>
            </w:r>
          </w:p>
        </w:tc>
        <w:tc>
          <w:tcPr>
            <w:tcW w:w="2268" w:type="dxa"/>
          </w:tcPr>
          <w:p w:rsidR="00816C00" w:rsidRPr="008A359D" w:rsidRDefault="00000000" w:rsidP="00581DB9">
            <w:pPr>
              <w:pStyle w:val="ListParagraph"/>
              <w:ind w:left="0"/>
              <w:rPr>
                <w:sz w:val="20"/>
                <w:szCs w:val="20"/>
              </w:rPr>
            </w:pPr>
            <m:oMathPara>
              <m:oMath>
                <m:f>
                  <m:fPr>
                    <m:ctrlPr>
                      <w:rPr>
                        <w:rFonts w:ascii="Cambria Math" w:hAnsi="Cambria Math"/>
                        <w:sz w:val="20"/>
                        <w:szCs w:val="20"/>
                      </w:rPr>
                    </m:ctrlPr>
                  </m:fPr>
                  <m:num>
                    <m:r>
                      <w:rPr>
                        <w:rFonts w:ascii="Cambria Math" w:hAnsi="Cambria Math"/>
                        <w:sz w:val="20"/>
                        <w:szCs w:val="20"/>
                      </w:rPr>
                      <m:t>1.945.391</m:t>
                    </m:r>
                  </m:num>
                  <m:den>
                    <m:r>
                      <w:rPr>
                        <w:rFonts w:ascii="Cambria Math" w:hAnsi="Cambria Math"/>
                        <w:sz w:val="20"/>
                        <w:szCs w:val="20"/>
                      </w:rPr>
                      <m:t>5.726.977</m:t>
                    </m:r>
                  </m:den>
                </m:f>
                <m:r>
                  <w:rPr>
                    <w:rFonts w:ascii="Cambria Math" w:hAnsi="Cambria Math"/>
                    <w:sz w:val="20"/>
                    <w:szCs w:val="20"/>
                  </w:rPr>
                  <m:t>x 100%</m:t>
                </m:r>
              </m:oMath>
            </m:oMathPara>
          </w:p>
        </w:tc>
        <w:tc>
          <w:tcPr>
            <w:tcW w:w="992" w:type="dxa"/>
          </w:tcPr>
          <w:p w:rsidR="00816C00" w:rsidRPr="008A359D" w:rsidRDefault="00816C00" w:rsidP="00581DB9">
            <w:pPr>
              <w:pStyle w:val="ListParagraph"/>
              <w:ind w:left="0"/>
              <w:jc w:val="right"/>
              <w:rPr>
                <w:sz w:val="20"/>
                <w:szCs w:val="20"/>
              </w:rPr>
            </w:pPr>
            <w:r w:rsidRPr="008A359D">
              <w:rPr>
                <w:sz w:val="20"/>
                <w:szCs w:val="20"/>
              </w:rPr>
              <w:t>101,91</w:t>
            </w:r>
          </w:p>
          <w:p w:rsidR="00816C00" w:rsidRPr="008A359D" w:rsidRDefault="00816C00" w:rsidP="00581DB9">
            <w:pPr>
              <w:pStyle w:val="ListParagraph"/>
              <w:ind w:left="0"/>
              <w:jc w:val="right"/>
              <w:rPr>
                <w:sz w:val="10"/>
                <w:szCs w:val="10"/>
              </w:rPr>
            </w:pPr>
          </w:p>
          <w:p w:rsidR="00816C00" w:rsidRPr="008A359D" w:rsidRDefault="00816C00" w:rsidP="00581DB9">
            <w:pPr>
              <w:pStyle w:val="ListParagraph"/>
              <w:ind w:left="0"/>
              <w:jc w:val="right"/>
              <w:rPr>
                <w:sz w:val="20"/>
                <w:szCs w:val="20"/>
              </w:rPr>
            </w:pPr>
          </w:p>
        </w:tc>
      </w:tr>
      <w:tr w:rsidR="00816C00" w:rsidRPr="008A359D" w:rsidTr="005C03F6">
        <w:tc>
          <w:tcPr>
            <w:tcW w:w="850" w:type="dxa"/>
            <w:vMerge/>
          </w:tcPr>
          <w:p w:rsidR="00816C00" w:rsidRPr="008A359D" w:rsidRDefault="00816C00" w:rsidP="00581DB9">
            <w:pPr>
              <w:pStyle w:val="ListParagraph"/>
              <w:ind w:left="0"/>
              <w:jc w:val="center"/>
              <w:rPr>
                <w:sz w:val="20"/>
                <w:szCs w:val="20"/>
              </w:rPr>
            </w:pPr>
          </w:p>
        </w:tc>
        <w:tc>
          <w:tcPr>
            <w:tcW w:w="3402" w:type="dxa"/>
            <w:vMerge/>
          </w:tcPr>
          <w:p w:rsidR="00816C00" w:rsidRPr="008A359D" w:rsidRDefault="00816C00" w:rsidP="00581DB9">
            <w:pPr>
              <w:pStyle w:val="ListParagraph"/>
              <w:ind w:left="0"/>
              <w:rPr>
                <w:sz w:val="20"/>
                <w:szCs w:val="20"/>
              </w:rPr>
            </w:pPr>
          </w:p>
        </w:tc>
        <w:tc>
          <w:tcPr>
            <w:tcW w:w="856" w:type="dxa"/>
          </w:tcPr>
          <w:p w:rsidR="00816C00" w:rsidRPr="008A359D" w:rsidRDefault="00816C00" w:rsidP="00581DB9">
            <w:pPr>
              <w:pStyle w:val="ListParagraph"/>
              <w:ind w:left="0"/>
              <w:rPr>
                <w:sz w:val="20"/>
                <w:szCs w:val="20"/>
              </w:rPr>
            </w:pPr>
            <w:r w:rsidRPr="008A359D">
              <w:rPr>
                <w:sz w:val="20"/>
                <w:szCs w:val="20"/>
              </w:rPr>
              <w:t>Mei ‘23</w:t>
            </w:r>
          </w:p>
        </w:tc>
        <w:tc>
          <w:tcPr>
            <w:tcW w:w="2268" w:type="dxa"/>
          </w:tcPr>
          <w:p w:rsidR="00816C00" w:rsidRPr="008A359D" w:rsidRDefault="00000000" w:rsidP="00581DB9">
            <w:pPr>
              <w:pStyle w:val="ListParagraph"/>
              <w:ind w:left="0"/>
              <w:rPr>
                <w:rFonts w:eastAsiaTheme="minorEastAsia"/>
                <w:sz w:val="20"/>
                <w:szCs w:val="20"/>
              </w:rPr>
            </w:pPr>
            <m:oMathPara>
              <m:oMath>
                <m:f>
                  <m:fPr>
                    <m:ctrlPr>
                      <w:rPr>
                        <w:rFonts w:ascii="Cambria Math" w:hAnsi="Cambria Math"/>
                        <w:sz w:val="20"/>
                        <w:szCs w:val="20"/>
                      </w:rPr>
                    </m:ctrlPr>
                  </m:fPr>
                  <m:num>
                    <m:r>
                      <w:rPr>
                        <w:rFonts w:ascii="Cambria Math" w:hAnsi="Cambria Math"/>
                        <w:sz w:val="20"/>
                        <w:szCs w:val="20"/>
                      </w:rPr>
                      <m:t>2.335.212</m:t>
                    </m:r>
                  </m:num>
                  <m:den>
                    <m:r>
                      <w:rPr>
                        <w:rFonts w:ascii="Cambria Math" w:hAnsi="Cambria Math"/>
                        <w:sz w:val="20"/>
                        <w:szCs w:val="20"/>
                      </w:rPr>
                      <m:t>7.076.460</m:t>
                    </m:r>
                  </m:den>
                </m:f>
                <m:r>
                  <w:rPr>
                    <w:rFonts w:ascii="Cambria Math" w:hAnsi="Cambria Math"/>
                    <w:sz w:val="20"/>
                    <w:szCs w:val="20"/>
                  </w:rPr>
                  <m:t>x 100%</m:t>
                </m:r>
              </m:oMath>
            </m:oMathPara>
          </w:p>
        </w:tc>
        <w:tc>
          <w:tcPr>
            <w:tcW w:w="992" w:type="dxa"/>
          </w:tcPr>
          <w:p w:rsidR="00816C00" w:rsidRPr="008A359D" w:rsidRDefault="00816C00" w:rsidP="00581DB9">
            <w:pPr>
              <w:pStyle w:val="ListParagraph"/>
              <w:ind w:left="0"/>
              <w:jc w:val="right"/>
              <w:rPr>
                <w:sz w:val="20"/>
                <w:szCs w:val="20"/>
              </w:rPr>
            </w:pPr>
            <w:r w:rsidRPr="008A359D">
              <w:rPr>
                <w:sz w:val="20"/>
                <w:szCs w:val="20"/>
              </w:rPr>
              <w:t>99,00</w:t>
            </w:r>
          </w:p>
          <w:p w:rsidR="00816C00" w:rsidRPr="008A359D" w:rsidRDefault="00816C00" w:rsidP="00581DB9">
            <w:pPr>
              <w:pStyle w:val="ListParagraph"/>
              <w:ind w:left="0"/>
              <w:jc w:val="right"/>
              <w:rPr>
                <w:sz w:val="20"/>
                <w:szCs w:val="20"/>
              </w:rPr>
            </w:pPr>
          </w:p>
          <w:p w:rsidR="00816C00" w:rsidRPr="008A359D" w:rsidRDefault="00816C00" w:rsidP="00581DB9">
            <w:pPr>
              <w:pStyle w:val="ListParagraph"/>
              <w:ind w:left="0"/>
              <w:jc w:val="right"/>
              <w:rPr>
                <w:sz w:val="10"/>
                <w:szCs w:val="10"/>
              </w:rPr>
            </w:pPr>
          </w:p>
        </w:tc>
      </w:tr>
      <w:tr w:rsidR="00816C00" w:rsidRPr="008A359D" w:rsidTr="005C03F6">
        <w:tc>
          <w:tcPr>
            <w:tcW w:w="850" w:type="dxa"/>
            <w:vMerge w:val="restart"/>
          </w:tcPr>
          <w:p w:rsidR="00816C00" w:rsidRPr="008A359D" w:rsidRDefault="00816C00" w:rsidP="00581DB9">
            <w:pPr>
              <w:pStyle w:val="ListParagraph"/>
              <w:ind w:left="0"/>
              <w:jc w:val="center"/>
              <w:rPr>
                <w:sz w:val="20"/>
                <w:szCs w:val="20"/>
              </w:rPr>
            </w:pPr>
            <w:r w:rsidRPr="008A359D">
              <w:rPr>
                <w:i/>
                <w:iCs/>
                <w:sz w:val="20"/>
                <w:szCs w:val="20"/>
              </w:rPr>
              <w:t>BOPO</w:t>
            </w:r>
          </w:p>
        </w:tc>
        <w:tc>
          <w:tcPr>
            <w:tcW w:w="3402" w:type="dxa"/>
            <w:vMerge w:val="restart"/>
          </w:tcPr>
          <w:p w:rsidR="00816C00" w:rsidRPr="008A359D" w:rsidRDefault="00000000" w:rsidP="00581DB9">
            <w:pPr>
              <w:pStyle w:val="ListParagraph"/>
              <w:ind w:left="0"/>
              <w:rPr>
                <w:sz w:val="20"/>
                <w:szCs w:val="20"/>
              </w:rPr>
            </w:pPr>
            <m:oMathPara>
              <m:oMath>
                <m:f>
                  <m:fPr>
                    <m:ctrlPr>
                      <w:rPr>
                        <w:rFonts w:ascii="Cambria Math" w:hAnsi="Cambria Math"/>
                        <w:sz w:val="20"/>
                        <w:szCs w:val="20"/>
                      </w:rPr>
                    </m:ctrlPr>
                  </m:fPr>
                  <m:num>
                    <m:r>
                      <w:rPr>
                        <w:rFonts w:ascii="Cambria Math" w:hAnsi="Cambria Math"/>
                        <w:sz w:val="20"/>
                        <w:szCs w:val="20"/>
                      </w:rPr>
                      <m:t>Beban Operasional</m:t>
                    </m:r>
                  </m:num>
                  <m:den>
                    <m:r>
                      <w:rPr>
                        <w:rFonts w:ascii="Cambria Math" w:hAnsi="Cambria Math"/>
                        <w:sz w:val="20"/>
                        <w:szCs w:val="20"/>
                      </w:rPr>
                      <m:t>Pendapatan Operasional</m:t>
                    </m:r>
                  </m:den>
                </m:f>
                <m:r>
                  <w:rPr>
                    <w:rFonts w:ascii="Cambria Math" w:hAnsi="Cambria Math"/>
                    <w:sz w:val="20"/>
                    <w:szCs w:val="20"/>
                  </w:rPr>
                  <m:t>x 100%</m:t>
                </m:r>
              </m:oMath>
            </m:oMathPara>
          </w:p>
        </w:tc>
        <w:tc>
          <w:tcPr>
            <w:tcW w:w="856" w:type="dxa"/>
          </w:tcPr>
          <w:p w:rsidR="00816C00" w:rsidRPr="008A359D" w:rsidRDefault="00816C00" w:rsidP="00581DB9">
            <w:pPr>
              <w:pStyle w:val="ListParagraph"/>
              <w:ind w:left="0"/>
              <w:rPr>
                <w:sz w:val="20"/>
                <w:szCs w:val="20"/>
              </w:rPr>
            </w:pPr>
            <w:r w:rsidRPr="008A359D">
              <w:rPr>
                <w:sz w:val="20"/>
                <w:szCs w:val="20"/>
              </w:rPr>
              <w:t>Apr ‘23</w:t>
            </w:r>
          </w:p>
        </w:tc>
        <w:tc>
          <w:tcPr>
            <w:tcW w:w="2268" w:type="dxa"/>
          </w:tcPr>
          <w:p w:rsidR="00816C00" w:rsidRPr="008A359D" w:rsidRDefault="00000000" w:rsidP="00581DB9">
            <w:pPr>
              <w:pStyle w:val="ListParagraph"/>
              <w:ind w:left="0"/>
              <w:rPr>
                <w:sz w:val="20"/>
                <w:szCs w:val="20"/>
              </w:rPr>
            </w:pPr>
            <m:oMathPara>
              <m:oMath>
                <m:f>
                  <m:fPr>
                    <m:ctrlPr>
                      <w:rPr>
                        <w:rFonts w:ascii="Cambria Math" w:hAnsi="Cambria Math"/>
                        <w:sz w:val="20"/>
                        <w:szCs w:val="20"/>
                      </w:rPr>
                    </m:ctrlPr>
                  </m:fPr>
                  <m:num>
                    <m:r>
                      <w:rPr>
                        <w:rFonts w:ascii="Cambria Math" w:hAnsi="Cambria Math"/>
                        <w:sz w:val="20"/>
                        <w:szCs w:val="20"/>
                      </w:rPr>
                      <m:t>4.131.673</m:t>
                    </m:r>
                  </m:num>
                  <m:den>
                    <m:r>
                      <w:rPr>
                        <w:rFonts w:ascii="Cambria Math" w:hAnsi="Cambria Math"/>
                        <w:sz w:val="20"/>
                        <w:szCs w:val="20"/>
                      </w:rPr>
                      <m:t>7.513.155</m:t>
                    </m:r>
                  </m:den>
                </m:f>
                <m:r>
                  <w:rPr>
                    <w:rFonts w:ascii="Cambria Math" w:hAnsi="Cambria Math"/>
                    <w:sz w:val="20"/>
                    <w:szCs w:val="20"/>
                  </w:rPr>
                  <m:t>x 100%</m:t>
                </m:r>
              </m:oMath>
            </m:oMathPara>
          </w:p>
        </w:tc>
        <w:tc>
          <w:tcPr>
            <w:tcW w:w="992" w:type="dxa"/>
          </w:tcPr>
          <w:p w:rsidR="00816C00" w:rsidRPr="008A359D" w:rsidRDefault="00816C00" w:rsidP="00581DB9">
            <w:pPr>
              <w:pStyle w:val="ListParagraph"/>
              <w:ind w:left="0"/>
              <w:jc w:val="right"/>
              <w:rPr>
                <w:sz w:val="20"/>
                <w:szCs w:val="20"/>
              </w:rPr>
            </w:pPr>
            <w:r w:rsidRPr="008A359D">
              <w:rPr>
                <w:sz w:val="20"/>
                <w:szCs w:val="20"/>
              </w:rPr>
              <w:t>54,99</w:t>
            </w:r>
          </w:p>
          <w:p w:rsidR="00816C00" w:rsidRPr="008A359D" w:rsidRDefault="00816C00" w:rsidP="00581DB9">
            <w:pPr>
              <w:pStyle w:val="ListParagraph"/>
              <w:ind w:left="0"/>
              <w:jc w:val="right"/>
              <w:rPr>
                <w:sz w:val="10"/>
                <w:szCs w:val="10"/>
              </w:rPr>
            </w:pPr>
          </w:p>
          <w:p w:rsidR="00816C00" w:rsidRPr="008A359D" w:rsidRDefault="00816C00" w:rsidP="00581DB9">
            <w:pPr>
              <w:pStyle w:val="ListParagraph"/>
              <w:ind w:left="0"/>
              <w:jc w:val="right"/>
              <w:rPr>
                <w:sz w:val="20"/>
                <w:szCs w:val="20"/>
              </w:rPr>
            </w:pPr>
          </w:p>
        </w:tc>
      </w:tr>
      <w:tr w:rsidR="00816C00" w:rsidRPr="008A359D" w:rsidTr="005C03F6">
        <w:tc>
          <w:tcPr>
            <w:tcW w:w="850" w:type="dxa"/>
            <w:vMerge/>
          </w:tcPr>
          <w:p w:rsidR="00816C00" w:rsidRPr="008A359D" w:rsidRDefault="00816C00" w:rsidP="00581DB9">
            <w:pPr>
              <w:pStyle w:val="ListParagraph"/>
              <w:ind w:left="0"/>
              <w:jc w:val="center"/>
              <w:rPr>
                <w:sz w:val="20"/>
                <w:szCs w:val="20"/>
              </w:rPr>
            </w:pPr>
          </w:p>
        </w:tc>
        <w:tc>
          <w:tcPr>
            <w:tcW w:w="3402" w:type="dxa"/>
            <w:vMerge/>
          </w:tcPr>
          <w:p w:rsidR="00816C00" w:rsidRPr="008A359D" w:rsidRDefault="00816C00" w:rsidP="00581DB9">
            <w:pPr>
              <w:pStyle w:val="ListParagraph"/>
              <w:ind w:left="0"/>
              <w:rPr>
                <w:sz w:val="20"/>
                <w:szCs w:val="20"/>
              </w:rPr>
            </w:pPr>
          </w:p>
        </w:tc>
        <w:tc>
          <w:tcPr>
            <w:tcW w:w="856" w:type="dxa"/>
          </w:tcPr>
          <w:p w:rsidR="00816C00" w:rsidRPr="008A359D" w:rsidRDefault="00816C00" w:rsidP="00581DB9">
            <w:pPr>
              <w:pStyle w:val="ListParagraph"/>
              <w:ind w:left="0"/>
              <w:rPr>
                <w:sz w:val="20"/>
                <w:szCs w:val="20"/>
              </w:rPr>
            </w:pPr>
            <w:r w:rsidRPr="008A359D">
              <w:rPr>
                <w:sz w:val="20"/>
                <w:szCs w:val="20"/>
              </w:rPr>
              <w:t>Mei ‘23</w:t>
            </w:r>
          </w:p>
        </w:tc>
        <w:tc>
          <w:tcPr>
            <w:tcW w:w="2268" w:type="dxa"/>
          </w:tcPr>
          <w:p w:rsidR="00816C00" w:rsidRPr="008A359D" w:rsidRDefault="00000000" w:rsidP="00581DB9">
            <w:pPr>
              <w:pStyle w:val="ListParagraph"/>
              <w:ind w:left="0"/>
              <w:rPr>
                <w:sz w:val="20"/>
                <w:szCs w:val="20"/>
              </w:rPr>
            </w:pPr>
            <m:oMathPara>
              <m:oMath>
                <m:f>
                  <m:fPr>
                    <m:ctrlPr>
                      <w:rPr>
                        <w:rFonts w:ascii="Cambria Math" w:hAnsi="Cambria Math"/>
                        <w:sz w:val="20"/>
                        <w:szCs w:val="20"/>
                      </w:rPr>
                    </m:ctrlPr>
                  </m:fPr>
                  <m:num>
                    <m:r>
                      <w:rPr>
                        <w:rFonts w:ascii="Cambria Math" w:hAnsi="Cambria Math"/>
                        <w:sz w:val="20"/>
                        <w:szCs w:val="20"/>
                      </w:rPr>
                      <m:t>5.232.173</m:t>
                    </m:r>
                  </m:num>
                  <m:den>
                    <m:r>
                      <w:rPr>
                        <w:rFonts w:ascii="Cambria Math" w:hAnsi="Cambria Math"/>
                        <w:sz w:val="20"/>
                        <w:szCs w:val="20"/>
                      </w:rPr>
                      <m:t>9.360.609</m:t>
                    </m:r>
                  </m:den>
                </m:f>
                <m:r>
                  <w:rPr>
                    <w:rFonts w:ascii="Cambria Math" w:hAnsi="Cambria Math"/>
                    <w:sz w:val="20"/>
                    <w:szCs w:val="20"/>
                  </w:rPr>
                  <m:t>x 100%</m:t>
                </m:r>
              </m:oMath>
            </m:oMathPara>
          </w:p>
        </w:tc>
        <w:tc>
          <w:tcPr>
            <w:tcW w:w="992" w:type="dxa"/>
          </w:tcPr>
          <w:p w:rsidR="00816C00" w:rsidRPr="008A359D" w:rsidRDefault="00816C00" w:rsidP="00581DB9">
            <w:pPr>
              <w:pStyle w:val="ListParagraph"/>
              <w:ind w:left="0"/>
              <w:jc w:val="right"/>
              <w:rPr>
                <w:sz w:val="20"/>
                <w:szCs w:val="20"/>
              </w:rPr>
            </w:pPr>
            <w:r w:rsidRPr="008A359D">
              <w:rPr>
                <w:sz w:val="20"/>
                <w:szCs w:val="20"/>
              </w:rPr>
              <w:t>55,90</w:t>
            </w:r>
          </w:p>
          <w:p w:rsidR="00816C00" w:rsidRPr="008A359D" w:rsidRDefault="00816C00" w:rsidP="00581DB9">
            <w:pPr>
              <w:pStyle w:val="ListParagraph"/>
              <w:ind w:left="0"/>
              <w:jc w:val="right"/>
              <w:rPr>
                <w:sz w:val="10"/>
                <w:szCs w:val="10"/>
              </w:rPr>
            </w:pPr>
          </w:p>
          <w:p w:rsidR="00816C00" w:rsidRPr="008A359D" w:rsidRDefault="00816C00" w:rsidP="00581DB9">
            <w:pPr>
              <w:pStyle w:val="ListParagraph"/>
              <w:ind w:left="0"/>
              <w:jc w:val="right"/>
              <w:rPr>
                <w:sz w:val="20"/>
                <w:szCs w:val="20"/>
              </w:rPr>
            </w:pPr>
          </w:p>
        </w:tc>
      </w:tr>
      <w:tr w:rsidR="00816C00" w:rsidRPr="008A359D" w:rsidTr="005C03F6">
        <w:tc>
          <w:tcPr>
            <w:tcW w:w="850" w:type="dxa"/>
            <w:vMerge w:val="restart"/>
          </w:tcPr>
          <w:p w:rsidR="00816C00" w:rsidRPr="008A359D" w:rsidRDefault="00816C00" w:rsidP="00581DB9">
            <w:pPr>
              <w:pStyle w:val="ListParagraph"/>
              <w:ind w:left="0"/>
              <w:jc w:val="center"/>
              <w:rPr>
                <w:sz w:val="20"/>
                <w:szCs w:val="20"/>
              </w:rPr>
            </w:pPr>
            <w:r w:rsidRPr="008A359D">
              <w:rPr>
                <w:i/>
                <w:iCs/>
                <w:sz w:val="20"/>
                <w:szCs w:val="20"/>
              </w:rPr>
              <w:t>FDR</w:t>
            </w:r>
          </w:p>
        </w:tc>
        <w:tc>
          <w:tcPr>
            <w:tcW w:w="3402" w:type="dxa"/>
            <w:vMerge w:val="restart"/>
          </w:tcPr>
          <w:p w:rsidR="00816C00" w:rsidRPr="008A359D" w:rsidRDefault="00000000" w:rsidP="00581DB9">
            <w:pPr>
              <w:pStyle w:val="ListParagraph"/>
              <w:ind w:left="0"/>
              <w:rPr>
                <w:sz w:val="20"/>
                <w:szCs w:val="20"/>
              </w:rPr>
            </w:pPr>
            <m:oMathPara>
              <m:oMath>
                <m:f>
                  <m:fPr>
                    <m:ctrlPr>
                      <w:rPr>
                        <w:rFonts w:ascii="Cambria Math" w:hAnsi="Cambria Math"/>
                        <w:sz w:val="20"/>
                        <w:szCs w:val="20"/>
                      </w:rPr>
                    </m:ctrlPr>
                  </m:fPr>
                  <m:num>
                    <m:r>
                      <w:rPr>
                        <w:rFonts w:ascii="Cambria Math" w:hAnsi="Cambria Math"/>
                        <w:sz w:val="20"/>
                        <w:szCs w:val="20"/>
                      </w:rPr>
                      <m:t>Kredit  yang Diberikan</m:t>
                    </m:r>
                  </m:num>
                  <m:den>
                    <m:r>
                      <w:rPr>
                        <w:rFonts w:ascii="Cambria Math" w:hAnsi="Cambria Math"/>
                        <w:sz w:val="20"/>
                        <w:szCs w:val="20"/>
                      </w:rPr>
                      <m:t>Total Dana Pihak Ketiga</m:t>
                    </m:r>
                  </m:den>
                </m:f>
                <m:r>
                  <w:rPr>
                    <w:rFonts w:ascii="Cambria Math" w:hAnsi="Cambria Math"/>
                    <w:sz w:val="20"/>
                    <w:szCs w:val="20"/>
                  </w:rPr>
                  <m:t>x 100%</m:t>
                </m:r>
              </m:oMath>
            </m:oMathPara>
          </w:p>
        </w:tc>
        <w:tc>
          <w:tcPr>
            <w:tcW w:w="856" w:type="dxa"/>
          </w:tcPr>
          <w:p w:rsidR="00816C00" w:rsidRPr="008A359D" w:rsidRDefault="00816C00" w:rsidP="00581DB9">
            <w:pPr>
              <w:pStyle w:val="ListParagraph"/>
              <w:ind w:left="0"/>
              <w:rPr>
                <w:sz w:val="20"/>
                <w:szCs w:val="20"/>
              </w:rPr>
            </w:pPr>
            <w:r w:rsidRPr="008A359D">
              <w:rPr>
                <w:sz w:val="20"/>
                <w:szCs w:val="20"/>
              </w:rPr>
              <w:t>Apr ‘23</w:t>
            </w:r>
          </w:p>
        </w:tc>
        <w:tc>
          <w:tcPr>
            <w:tcW w:w="2268" w:type="dxa"/>
          </w:tcPr>
          <w:p w:rsidR="00816C00" w:rsidRPr="008A359D" w:rsidRDefault="00000000" w:rsidP="00581DB9">
            <w:pPr>
              <w:pStyle w:val="ListParagraph"/>
              <w:ind w:left="0"/>
              <w:rPr>
                <w:sz w:val="20"/>
                <w:szCs w:val="20"/>
              </w:rPr>
            </w:pPr>
            <m:oMathPara>
              <m:oMath>
                <m:f>
                  <m:fPr>
                    <m:ctrlPr>
                      <w:rPr>
                        <w:rFonts w:ascii="Cambria Math" w:hAnsi="Cambria Math"/>
                        <w:sz w:val="20"/>
                        <w:szCs w:val="20"/>
                      </w:rPr>
                    </m:ctrlPr>
                  </m:fPr>
                  <m:num>
                    <m:r>
                      <w:rPr>
                        <w:rFonts w:ascii="Cambria Math" w:hAnsi="Cambria Math"/>
                        <w:sz w:val="20"/>
                        <w:szCs w:val="20"/>
                      </w:rPr>
                      <m:t>137.692.523</m:t>
                    </m:r>
                  </m:num>
                  <m:den>
                    <m:r>
                      <w:rPr>
                        <w:rFonts w:ascii="Cambria Math" w:hAnsi="Cambria Math"/>
                        <w:sz w:val="20"/>
                        <w:szCs w:val="20"/>
                      </w:rPr>
                      <m:t>268.014.534</m:t>
                    </m:r>
                  </m:den>
                </m:f>
                <m:r>
                  <w:rPr>
                    <w:rFonts w:ascii="Cambria Math" w:hAnsi="Cambria Math"/>
                    <w:sz w:val="20"/>
                    <w:szCs w:val="20"/>
                  </w:rPr>
                  <m:t>x 100%</m:t>
                </m:r>
              </m:oMath>
            </m:oMathPara>
          </w:p>
        </w:tc>
        <w:tc>
          <w:tcPr>
            <w:tcW w:w="992" w:type="dxa"/>
          </w:tcPr>
          <w:p w:rsidR="00816C00" w:rsidRPr="008A359D" w:rsidRDefault="00816C00" w:rsidP="00581DB9">
            <w:pPr>
              <w:pStyle w:val="ListParagraph"/>
              <w:ind w:left="0"/>
              <w:jc w:val="right"/>
              <w:rPr>
                <w:sz w:val="20"/>
                <w:szCs w:val="20"/>
              </w:rPr>
            </w:pPr>
            <w:r w:rsidRPr="008A359D">
              <w:rPr>
                <w:sz w:val="20"/>
                <w:szCs w:val="20"/>
              </w:rPr>
              <w:t>51,38</w:t>
            </w:r>
          </w:p>
          <w:p w:rsidR="00816C00" w:rsidRPr="008A359D" w:rsidRDefault="00816C00" w:rsidP="00581DB9">
            <w:pPr>
              <w:pStyle w:val="ListParagraph"/>
              <w:ind w:left="0"/>
              <w:jc w:val="right"/>
              <w:rPr>
                <w:sz w:val="20"/>
                <w:szCs w:val="20"/>
              </w:rPr>
            </w:pPr>
          </w:p>
          <w:p w:rsidR="00816C00" w:rsidRPr="008A359D" w:rsidRDefault="00816C00" w:rsidP="00581DB9">
            <w:pPr>
              <w:pStyle w:val="ListParagraph"/>
              <w:ind w:left="0"/>
              <w:jc w:val="right"/>
              <w:rPr>
                <w:sz w:val="10"/>
                <w:szCs w:val="10"/>
              </w:rPr>
            </w:pPr>
          </w:p>
        </w:tc>
      </w:tr>
      <w:tr w:rsidR="00816C00" w:rsidRPr="008A359D" w:rsidTr="00581DB9">
        <w:tc>
          <w:tcPr>
            <w:tcW w:w="850" w:type="dxa"/>
            <w:vMerge/>
            <w:tcBorders>
              <w:bottom w:val="single" w:sz="4" w:space="0" w:color="auto"/>
            </w:tcBorders>
          </w:tcPr>
          <w:p w:rsidR="00816C00" w:rsidRPr="008A359D" w:rsidRDefault="00816C00" w:rsidP="00581DB9">
            <w:pPr>
              <w:pStyle w:val="ListParagraph"/>
              <w:ind w:left="0"/>
              <w:rPr>
                <w:sz w:val="20"/>
                <w:szCs w:val="20"/>
              </w:rPr>
            </w:pPr>
          </w:p>
        </w:tc>
        <w:tc>
          <w:tcPr>
            <w:tcW w:w="3402" w:type="dxa"/>
            <w:vMerge/>
            <w:tcBorders>
              <w:bottom w:val="single" w:sz="4" w:space="0" w:color="auto"/>
            </w:tcBorders>
          </w:tcPr>
          <w:p w:rsidR="00816C00" w:rsidRPr="008A359D" w:rsidRDefault="00816C00" w:rsidP="00581DB9">
            <w:pPr>
              <w:pStyle w:val="ListParagraph"/>
              <w:ind w:left="0"/>
              <w:rPr>
                <w:sz w:val="20"/>
                <w:szCs w:val="20"/>
              </w:rPr>
            </w:pPr>
          </w:p>
        </w:tc>
        <w:tc>
          <w:tcPr>
            <w:tcW w:w="856" w:type="dxa"/>
            <w:tcBorders>
              <w:bottom w:val="single" w:sz="4" w:space="0" w:color="auto"/>
            </w:tcBorders>
          </w:tcPr>
          <w:p w:rsidR="00816C00" w:rsidRPr="008A359D" w:rsidRDefault="00816C00" w:rsidP="00581DB9">
            <w:pPr>
              <w:pStyle w:val="ListParagraph"/>
              <w:ind w:left="0"/>
              <w:rPr>
                <w:sz w:val="20"/>
                <w:szCs w:val="20"/>
              </w:rPr>
            </w:pPr>
            <w:r w:rsidRPr="008A359D">
              <w:rPr>
                <w:sz w:val="20"/>
                <w:szCs w:val="20"/>
              </w:rPr>
              <w:t>Mei ‘23</w:t>
            </w:r>
          </w:p>
        </w:tc>
        <w:tc>
          <w:tcPr>
            <w:tcW w:w="2268" w:type="dxa"/>
            <w:tcBorders>
              <w:bottom w:val="single" w:sz="4" w:space="0" w:color="auto"/>
            </w:tcBorders>
          </w:tcPr>
          <w:p w:rsidR="00816C00" w:rsidRPr="008A359D" w:rsidRDefault="00000000" w:rsidP="00581DB9">
            <w:pPr>
              <w:pStyle w:val="ListParagraph"/>
              <w:ind w:left="0"/>
              <w:rPr>
                <w:sz w:val="20"/>
                <w:szCs w:val="20"/>
              </w:rPr>
            </w:pPr>
            <m:oMathPara>
              <m:oMath>
                <m:f>
                  <m:fPr>
                    <m:ctrlPr>
                      <w:rPr>
                        <w:rFonts w:ascii="Cambria Math" w:hAnsi="Cambria Math"/>
                        <w:sz w:val="20"/>
                        <w:szCs w:val="20"/>
                      </w:rPr>
                    </m:ctrlPr>
                  </m:fPr>
                  <m:num>
                    <m:r>
                      <w:rPr>
                        <w:rFonts w:ascii="Cambria Math" w:hAnsi="Cambria Math"/>
                        <w:sz w:val="20"/>
                        <w:szCs w:val="20"/>
                      </w:rPr>
                      <m:t>137.806.856</m:t>
                    </m:r>
                  </m:num>
                  <m:den>
                    <m:r>
                      <w:rPr>
                        <w:rFonts w:ascii="Cambria Math" w:hAnsi="Cambria Math"/>
                        <w:sz w:val="20"/>
                        <w:szCs w:val="20"/>
                      </w:rPr>
                      <m:t>262.162.867</m:t>
                    </m:r>
                  </m:den>
                </m:f>
                <m:r>
                  <w:rPr>
                    <w:rFonts w:ascii="Cambria Math" w:hAnsi="Cambria Math"/>
                    <w:sz w:val="20"/>
                    <w:szCs w:val="20"/>
                  </w:rPr>
                  <m:t>x 100%</m:t>
                </m:r>
              </m:oMath>
            </m:oMathPara>
          </w:p>
        </w:tc>
        <w:tc>
          <w:tcPr>
            <w:tcW w:w="992" w:type="dxa"/>
            <w:tcBorders>
              <w:bottom w:val="single" w:sz="4" w:space="0" w:color="auto"/>
            </w:tcBorders>
          </w:tcPr>
          <w:p w:rsidR="00816C00" w:rsidRPr="008A359D" w:rsidRDefault="00816C00" w:rsidP="00581DB9">
            <w:pPr>
              <w:pStyle w:val="ListParagraph"/>
              <w:ind w:left="0"/>
              <w:jc w:val="right"/>
              <w:rPr>
                <w:sz w:val="20"/>
                <w:szCs w:val="20"/>
              </w:rPr>
            </w:pPr>
            <w:r w:rsidRPr="008A359D">
              <w:rPr>
                <w:sz w:val="20"/>
                <w:szCs w:val="20"/>
              </w:rPr>
              <w:t>52,57</w:t>
            </w:r>
          </w:p>
          <w:p w:rsidR="00816C00" w:rsidRPr="008A359D" w:rsidRDefault="00816C00" w:rsidP="00581DB9">
            <w:pPr>
              <w:pStyle w:val="ListParagraph"/>
              <w:ind w:left="0"/>
              <w:jc w:val="right"/>
              <w:rPr>
                <w:sz w:val="20"/>
                <w:szCs w:val="20"/>
              </w:rPr>
            </w:pPr>
          </w:p>
          <w:p w:rsidR="00816C00" w:rsidRPr="008A359D" w:rsidRDefault="00816C00" w:rsidP="00581DB9">
            <w:pPr>
              <w:pStyle w:val="ListParagraph"/>
              <w:ind w:left="0"/>
              <w:jc w:val="right"/>
              <w:rPr>
                <w:sz w:val="10"/>
                <w:szCs w:val="10"/>
              </w:rPr>
            </w:pPr>
          </w:p>
        </w:tc>
      </w:tr>
    </w:tbl>
    <w:p w:rsidR="009C1AC1" w:rsidRDefault="009C1AC1" w:rsidP="00816C00">
      <w:pPr>
        <w:jc w:val="both"/>
        <w:rPr>
          <w:b/>
          <w:bCs/>
          <w:sz w:val="20"/>
          <w:szCs w:val="20"/>
        </w:rPr>
      </w:pPr>
    </w:p>
    <w:p w:rsidR="009C1AC1" w:rsidRDefault="009C1AC1" w:rsidP="00816C00">
      <w:pPr>
        <w:jc w:val="both"/>
        <w:rPr>
          <w:b/>
          <w:bCs/>
          <w:sz w:val="20"/>
          <w:szCs w:val="20"/>
        </w:rPr>
      </w:pPr>
    </w:p>
    <w:p w:rsidR="009C1AC1" w:rsidRDefault="009C1AC1" w:rsidP="00816C00">
      <w:pPr>
        <w:jc w:val="both"/>
        <w:rPr>
          <w:b/>
          <w:bCs/>
          <w:sz w:val="20"/>
          <w:szCs w:val="20"/>
        </w:rPr>
      </w:pPr>
    </w:p>
    <w:p w:rsidR="00816C00" w:rsidRPr="008A359D" w:rsidRDefault="00816C00" w:rsidP="00816C00">
      <w:pPr>
        <w:jc w:val="both"/>
        <w:rPr>
          <w:b/>
          <w:bCs/>
          <w:sz w:val="20"/>
          <w:szCs w:val="20"/>
        </w:rPr>
      </w:pPr>
      <w:r w:rsidRPr="008A359D">
        <w:rPr>
          <w:b/>
          <w:bCs/>
          <w:sz w:val="20"/>
          <w:szCs w:val="20"/>
        </w:rPr>
        <w:lastRenderedPageBreak/>
        <w:t>Uji Normalitas : Shapiro Wilk</w:t>
      </w:r>
    </w:p>
    <w:p w:rsidR="00816C00" w:rsidRPr="008A359D" w:rsidRDefault="00816C00" w:rsidP="00816C00">
      <w:pPr>
        <w:pStyle w:val="ListParagraph"/>
        <w:ind w:left="0" w:firstLine="284"/>
        <w:jc w:val="both"/>
        <w:rPr>
          <w:sz w:val="20"/>
          <w:szCs w:val="20"/>
        </w:rPr>
      </w:pPr>
      <w:r w:rsidRPr="008A359D">
        <w:rPr>
          <w:sz w:val="20"/>
          <w:szCs w:val="20"/>
        </w:rPr>
        <w:t>Uji normalitas ini digunakan untuk mengetahui apakah data berdistribusi normal atau tidak. Berikut merupakan hasil uji normalitas menggunakan Shapiro Wilk yang tersaji dalam tabel 5.</w:t>
      </w:r>
    </w:p>
    <w:p w:rsidR="00816C00" w:rsidRPr="008A359D" w:rsidRDefault="00816C00" w:rsidP="00816C00">
      <w:pPr>
        <w:jc w:val="center"/>
        <w:rPr>
          <w:sz w:val="20"/>
          <w:szCs w:val="20"/>
        </w:rPr>
      </w:pPr>
      <w:r w:rsidRPr="008A359D">
        <w:rPr>
          <w:sz w:val="20"/>
          <w:szCs w:val="20"/>
        </w:rPr>
        <w:t>Tabel 5. Hasil Uji Normalitas : Shapiro Wilk</w:t>
      </w:r>
    </w:p>
    <w:tbl>
      <w:tblPr>
        <w:tblW w:w="7778" w:type="dxa"/>
        <w:tblInd w:w="6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98"/>
        <w:gridCol w:w="1030"/>
        <w:gridCol w:w="1030"/>
        <w:gridCol w:w="1030"/>
        <w:gridCol w:w="1030"/>
        <w:gridCol w:w="1030"/>
        <w:gridCol w:w="1030"/>
      </w:tblGrid>
      <w:tr w:rsidR="00816C00" w:rsidRPr="008A359D" w:rsidTr="00581DB9">
        <w:trPr>
          <w:cantSplit/>
          <w:trHeight w:val="399"/>
        </w:trPr>
        <w:tc>
          <w:tcPr>
            <w:tcW w:w="7778" w:type="dxa"/>
            <w:gridSpan w:val="7"/>
            <w:tcBorders>
              <w:top w:val="single" w:sz="4" w:space="0" w:color="auto"/>
              <w:left w:val="nil"/>
              <w:bottom w:val="single" w:sz="4" w:space="0" w:color="auto"/>
              <w:right w:val="nil"/>
            </w:tcBorders>
            <w:shd w:val="clear" w:color="auto" w:fill="auto"/>
            <w:vAlign w:val="center"/>
          </w:tcPr>
          <w:p w:rsidR="00816C00" w:rsidRPr="008A359D" w:rsidRDefault="00816C00" w:rsidP="00581DB9">
            <w:pPr>
              <w:autoSpaceDE w:val="0"/>
              <w:autoSpaceDN w:val="0"/>
              <w:adjustRightInd w:val="0"/>
              <w:ind w:left="60" w:right="60"/>
              <w:jc w:val="center"/>
              <w:rPr>
                <w:sz w:val="20"/>
                <w:szCs w:val="20"/>
              </w:rPr>
            </w:pPr>
            <w:r w:rsidRPr="008A359D">
              <w:rPr>
                <w:b/>
                <w:bCs/>
                <w:sz w:val="20"/>
                <w:szCs w:val="20"/>
              </w:rPr>
              <w:t>Test of Normality</w:t>
            </w:r>
          </w:p>
        </w:tc>
      </w:tr>
      <w:tr w:rsidR="00816C00" w:rsidRPr="008A359D" w:rsidTr="005C03F6">
        <w:trPr>
          <w:cantSplit/>
        </w:trPr>
        <w:tc>
          <w:tcPr>
            <w:tcW w:w="1598" w:type="dxa"/>
            <w:vMerge w:val="restart"/>
            <w:tcBorders>
              <w:top w:val="single" w:sz="4" w:space="0" w:color="auto"/>
              <w:left w:val="nil"/>
              <w:bottom w:val="nil"/>
              <w:right w:val="nil"/>
            </w:tcBorders>
            <w:shd w:val="clear" w:color="auto" w:fill="auto"/>
            <w:vAlign w:val="bottom"/>
          </w:tcPr>
          <w:p w:rsidR="00816C00" w:rsidRPr="008A359D" w:rsidRDefault="00816C00" w:rsidP="00581DB9">
            <w:pPr>
              <w:autoSpaceDE w:val="0"/>
              <w:autoSpaceDN w:val="0"/>
              <w:adjustRightInd w:val="0"/>
            </w:pPr>
          </w:p>
        </w:tc>
        <w:tc>
          <w:tcPr>
            <w:tcW w:w="3090" w:type="dxa"/>
            <w:gridSpan w:val="3"/>
            <w:tcBorders>
              <w:top w:val="single" w:sz="4" w:space="0" w:color="auto"/>
              <w:left w:val="nil"/>
              <w:bottom w:val="nil"/>
              <w:right w:val="nil"/>
            </w:tcBorders>
            <w:shd w:val="clear" w:color="auto" w:fill="auto"/>
            <w:vAlign w:val="bottom"/>
          </w:tcPr>
          <w:p w:rsidR="00816C00" w:rsidRPr="008A359D" w:rsidRDefault="00816C00" w:rsidP="00581DB9">
            <w:pPr>
              <w:autoSpaceDE w:val="0"/>
              <w:autoSpaceDN w:val="0"/>
              <w:adjustRightInd w:val="0"/>
              <w:ind w:left="60" w:right="60"/>
              <w:jc w:val="center"/>
              <w:rPr>
                <w:sz w:val="20"/>
                <w:szCs w:val="20"/>
              </w:rPr>
            </w:pPr>
            <w:r w:rsidRPr="008A359D">
              <w:rPr>
                <w:sz w:val="20"/>
                <w:szCs w:val="20"/>
              </w:rPr>
              <w:t>Kolmogorov-Smirnov</w:t>
            </w:r>
            <w:r w:rsidRPr="008A359D">
              <w:rPr>
                <w:sz w:val="20"/>
                <w:szCs w:val="20"/>
                <w:vertAlign w:val="superscript"/>
              </w:rPr>
              <w:t>a</w:t>
            </w:r>
          </w:p>
        </w:tc>
        <w:tc>
          <w:tcPr>
            <w:tcW w:w="3090" w:type="dxa"/>
            <w:gridSpan w:val="3"/>
            <w:tcBorders>
              <w:top w:val="single" w:sz="4" w:space="0" w:color="auto"/>
              <w:left w:val="nil"/>
              <w:bottom w:val="nil"/>
              <w:right w:val="nil"/>
            </w:tcBorders>
            <w:shd w:val="clear" w:color="auto" w:fill="auto"/>
            <w:vAlign w:val="bottom"/>
          </w:tcPr>
          <w:p w:rsidR="00816C00" w:rsidRPr="008A359D" w:rsidRDefault="00816C00" w:rsidP="00581DB9">
            <w:pPr>
              <w:autoSpaceDE w:val="0"/>
              <w:autoSpaceDN w:val="0"/>
              <w:adjustRightInd w:val="0"/>
              <w:ind w:left="60" w:right="60"/>
              <w:jc w:val="center"/>
              <w:rPr>
                <w:rFonts w:ascii="Arial" w:hAnsi="Arial" w:cs="Arial"/>
                <w:sz w:val="18"/>
                <w:szCs w:val="18"/>
              </w:rPr>
            </w:pPr>
            <w:r w:rsidRPr="008A359D">
              <w:rPr>
                <w:rFonts w:ascii="Arial" w:hAnsi="Arial" w:cs="Arial"/>
                <w:sz w:val="18"/>
                <w:szCs w:val="18"/>
              </w:rPr>
              <w:t>Shapiro-Wilk</w:t>
            </w:r>
          </w:p>
        </w:tc>
      </w:tr>
      <w:tr w:rsidR="00816C00" w:rsidRPr="008A359D" w:rsidTr="005C03F6">
        <w:trPr>
          <w:cantSplit/>
        </w:trPr>
        <w:tc>
          <w:tcPr>
            <w:tcW w:w="1598" w:type="dxa"/>
            <w:vMerge/>
            <w:tcBorders>
              <w:top w:val="nil"/>
              <w:left w:val="nil"/>
              <w:bottom w:val="nil"/>
              <w:right w:val="nil"/>
            </w:tcBorders>
            <w:shd w:val="clear" w:color="auto" w:fill="auto"/>
            <w:vAlign w:val="bottom"/>
          </w:tcPr>
          <w:p w:rsidR="00816C00" w:rsidRPr="008A359D" w:rsidRDefault="00816C00" w:rsidP="00581DB9">
            <w:pPr>
              <w:autoSpaceDE w:val="0"/>
              <w:autoSpaceDN w:val="0"/>
              <w:adjustRightInd w:val="0"/>
              <w:rPr>
                <w:rFonts w:ascii="Arial" w:hAnsi="Arial" w:cs="Arial"/>
                <w:sz w:val="18"/>
                <w:szCs w:val="18"/>
              </w:rPr>
            </w:pPr>
          </w:p>
        </w:tc>
        <w:tc>
          <w:tcPr>
            <w:tcW w:w="1030" w:type="dxa"/>
            <w:tcBorders>
              <w:top w:val="nil"/>
              <w:left w:val="nil"/>
              <w:bottom w:val="nil"/>
              <w:right w:val="nil"/>
            </w:tcBorders>
            <w:shd w:val="clear" w:color="auto" w:fill="auto"/>
            <w:vAlign w:val="bottom"/>
          </w:tcPr>
          <w:p w:rsidR="00816C00" w:rsidRPr="008A359D" w:rsidRDefault="00816C00" w:rsidP="00581DB9">
            <w:pPr>
              <w:autoSpaceDE w:val="0"/>
              <w:autoSpaceDN w:val="0"/>
              <w:adjustRightInd w:val="0"/>
              <w:ind w:left="60" w:right="60"/>
              <w:jc w:val="center"/>
              <w:rPr>
                <w:rFonts w:ascii="Arial" w:hAnsi="Arial" w:cs="Arial"/>
                <w:sz w:val="18"/>
                <w:szCs w:val="18"/>
              </w:rPr>
            </w:pPr>
            <w:r w:rsidRPr="008A359D">
              <w:rPr>
                <w:rFonts w:ascii="Arial" w:hAnsi="Arial" w:cs="Arial"/>
                <w:sz w:val="18"/>
                <w:szCs w:val="18"/>
              </w:rPr>
              <w:t>Statistic</w:t>
            </w:r>
          </w:p>
        </w:tc>
        <w:tc>
          <w:tcPr>
            <w:tcW w:w="1030" w:type="dxa"/>
            <w:tcBorders>
              <w:top w:val="nil"/>
              <w:left w:val="nil"/>
              <w:bottom w:val="nil"/>
              <w:right w:val="nil"/>
            </w:tcBorders>
            <w:shd w:val="clear" w:color="auto" w:fill="auto"/>
            <w:vAlign w:val="bottom"/>
          </w:tcPr>
          <w:p w:rsidR="00816C00" w:rsidRPr="008A359D" w:rsidRDefault="00816C00" w:rsidP="00581DB9">
            <w:pPr>
              <w:autoSpaceDE w:val="0"/>
              <w:autoSpaceDN w:val="0"/>
              <w:adjustRightInd w:val="0"/>
              <w:ind w:left="60" w:right="60"/>
              <w:jc w:val="center"/>
              <w:rPr>
                <w:sz w:val="20"/>
                <w:szCs w:val="20"/>
              </w:rPr>
            </w:pPr>
            <w:r w:rsidRPr="008A359D">
              <w:rPr>
                <w:sz w:val="20"/>
                <w:szCs w:val="20"/>
              </w:rPr>
              <w:t>Df</w:t>
            </w:r>
          </w:p>
        </w:tc>
        <w:tc>
          <w:tcPr>
            <w:tcW w:w="1030" w:type="dxa"/>
            <w:tcBorders>
              <w:top w:val="nil"/>
              <w:left w:val="nil"/>
              <w:bottom w:val="nil"/>
              <w:right w:val="nil"/>
            </w:tcBorders>
            <w:shd w:val="clear" w:color="auto" w:fill="auto"/>
            <w:vAlign w:val="bottom"/>
          </w:tcPr>
          <w:p w:rsidR="00816C00" w:rsidRPr="008A359D" w:rsidRDefault="00816C00" w:rsidP="00581DB9">
            <w:pPr>
              <w:autoSpaceDE w:val="0"/>
              <w:autoSpaceDN w:val="0"/>
              <w:adjustRightInd w:val="0"/>
              <w:ind w:left="60" w:right="60"/>
              <w:jc w:val="center"/>
              <w:rPr>
                <w:sz w:val="20"/>
                <w:szCs w:val="20"/>
              </w:rPr>
            </w:pPr>
            <w:r w:rsidRPr="008A359D">
              <w:rPr>
                <w:sz w:val="20"/>
                <w:szCs w:val="20"/>
              </w:rPr>
              <w:t>Sig.</w:t>
            </w:r>
          </w:p>
        </w:tc>
        <w:tc>
          <w:tcPr>
            <w:tcW w:w="1030" w:type="dxa"/>
            <w:tcBorders>
              <w:top w:val="nil"/>
              <w:left w:val="nil"/>
              <w:bottom w:val="nil"/>
              <w:right w:val="nil"/>
            </w:tcBorders>
            <w:shd w:val="clear" w:color="auto" w:fill="auto"/>
            <w:vAlign w:val="bottom"/>
          </w:tcPr>
          <w:p w:rsidR="00816C00" w:rsidRPr="008A359D" w:rsidRDefault="00816C00" w:rsidP="00581DB9">
            <w:pPr>
              <w:autoSpaceDE w:val="0"/>
              <w:autoSpaceDN w:val="0"/>
              <w:adjustRightInd w:val="0"/>
              <w:ind w:left="60" w:right="60"/>
              <w:jc w:val="center"/>
              <w:rPr>
                <w:rFonts w:ascii="Arial" w:hAnsi="Arial" w:cs="Arial"/>
                <w:sz w:val="18"/>
                <w:szCs w:val="18"/>
              </w:rPr>
            </w:pPr>
            <w:r w:rsidRPr="008A359D">
              <w:rPr>
                <w:rFonts w:ascii="Arial" w:hAnsi="Arial" w:cs="Arial"/>
                <w:sz w:val="18"/>
                <w:szCs w:val="18"/>
              </w:rPr>
              <w:t>Statistic</w:t>
            </w:r>
          </w:p>
        </w:tc>
        <w:tc>
          <w:tcPr>
            <w:tcW w:w="1030" w:type="dxa"/>
            <w:tcBorders>
              <w:top w:val="nil"/>
              <w:left w:val="nil"/>
              <w:bottom w:val="nil"/>
              <w:right w:val="nil"/>
            </w:tcBorders>
            <w:shd w:val="clear" w:color="auto" w:fill="auto"/>
            <w:vAlign w:val="bottom"/>
          </w:tcPr>
          <w:p w:rsidR="00816C00" w:rsidRPr="008A359D" w:rsidRDefault="00816C00" w:rsidP="00581DB9">
            <w:pPr>
              <w:autoSpaceDE w:val="0"/>
              <w:autoSpaceDN w:val="0"/>
              <w:adjustRightInd w:val="0"/>
              <w:ind w:left="60" w:right="60"/>
              <w:jc w:val="center"/>
              <w:rPr>
                <w:rFonts w:ascii="Arial" w:hAnsi="Arial" w:cs="Arial"/>
                <w:sz w:val="18"/>
                <w:szCs w:val="18"/>
              </w:rPr>
            </w:pPr>
            <w:r w:rsidRPr="008A359D">
              <w:rPr>
                <w:rFonts w:ascii="Arial" w:hAnsi="Arial" w:cs="Arial"/>
                <w:sz w:val="18"/>
                <w:szCs w:val="18"/>
              </w:rPr>
              <w:t>Df</w:t>
            </w:r>
          </w:p>
        </w:tc>
        <w:tc>
          <w:tcPr>
            <w:tcW w:w="1030" w:type="dxa"/>
            <w:tcBorders>
              <w:top w:val="nil"/>
              <w:left w:val="nil"/>
              <w:bottom w:val="nil"/>
              <w:right w:val="nil"/>
            </w:tcBorders>
            <w:shd w:val="clear" w:color="auto" w:fill="auto"/>
            <w:vAlign w:val="bottom"/>
          </w:tcPr>
          <w:p w:rsidR="00816C00" w:rsidRPr="008A359D" w:rsidRDefault="00816C00" w:rsidP="00581DB9">
            <w:pPr>
              <w:autoSpaceDE w:val="0"/>
              <w:autoSpaceDN w:val="0"/>
              <w:adjustRightInd w:val="0"/>
              <w:ind w:left="60" w:right="60"/>
              <w:jc w:val="center"/>
              <w:rPr>
                <w:rFonts w:ascii="Arial" w:hAnsi="Arial" w:cs="Arial"/>
                <w:sz w:val="18"/>
                <w:szCs w:val="18"/>
              </w:rPr>
            </w:pPr>
            <w:r w:rsidRPr="008A359D">
              <w:rPr>
                <w:rFonts w:ascii="Arial" w:hAnsi="Arial" w:cs="Arial"/>
                <w:sz w:val="18"/>
                <w:szCs w:val="18"/>
              </w:rPr>
              <w:t>Sig.</w:t>
            </w:r>
          </w:p>
        </w:tc>
      </w:tr>
      <w:tr w:rsidR="00816C00" w:rsidRPr="008A359D" w:rsidTr="005C03F6">
        <w:trPr>
          <w:cantSplit/>
        </w:trPr>
        <w:tc>
          <w:tcPr>
            <w:tcW w:w="1598" w:type="dxa"/>
            <w:tcBorders>
              <w:top w:val="nil"/>
              <w:left w:val="nil"/>
              <w:bottom w:val="nil"/>
              <w:right w:val="nil"/>
            </w:tcBorders>
            <w:shd w:val="clear" w:color="auto" w:fill="auto"/>
          </w:tcPr>
          <w:p w:rsidR="00816C00" w:rsidRPr="008A359D" w:rsidRDefault="00816C00" w:rsidP="00581DB9">
            <w:pPr>
              <w:autoSpaceDE w:val="0"/>
              <w:autoSpaceDN w:val="0"/>
              <w:adjustRightInd w:val="0"/>
              <w:ind w:left="60" w:right="60"/>
              <w:rPr>
                <w:rFonts w:ascii="Arial" w:hAnsi="Arial" w:cs="Arial"/>
                <w:sz w:val="18"/>
                <w:szCs w:val="18"/>
              </w:rPr>
            </w:pPr>
            <w:r w:rsidRPr="008A359D">
              <w:rPr>
                <w:rFonts w:ascii="Arial" w:hAnsi="Arial" w:cs="Arial"/>
                <w:sz w:val="18"/>
                <w:szCs w:val="18"/>
              </w:rPr>
              <w:t>APR (Sebelum)</w:t>
            </w:r>
          </w:p>
        </w:tc>
        <w:tc>
          <w:tcPr>
            <w:tcW w:w="1030" w:type="dxa"/>
            <w:tcBorders>
              <w:top w:val="nil"/>
              <w:left w:val="nil"/>
              <w:bottom w:val="nil"/>
              <w:right w:val="nil"/>
            </w:tcBorders>
            <w:shd w:val="clear" w:color="auto" w:fill="auto"/>
          </w:tcPr>
          <w:p w:rsidR="00816C00" w:rsidRPr="008A359D" w:rsidRDefault="00816C00" w:rsidP="00581DB9">
            <w:pPr>
              <w:autoSpaceDE w:val="0"/>
              <w:autoSpaceDN w:val="0"/>
              <w:adjustRightInd w:val="0"/>
              <w:ind w:left="60" w:right="60"/>
              <w:jc w:val="right"/>
              <w:rPr>
                <w:rFonts w:ascii="Arial" w:hAnsi="Arial" w:cs="Arial"/>
                <w:sz w:val="18"/>
                <w:szCs w:val="18"/>
              </w:rPr>
            </w:pPr>
            <w:r w:rsidRPr="008A359D">
              <w:rPr>
                <w:rFonts w:ascii="Arial" w:hAnsi="Arial" w:cs="Arial"/>
                <w:sz w:val="18"/>
                <w:szCs w:val="18"/>
              </w:rPr>
              <w:t>,199</w:t>
            </w:r>
          </w:p>
        </w:tc>
        <w:tc>
          <w:tcPr>
            <w:tcW w:w="1030" w:type="dxa"/>
            <w:tcBorders>
              <w:top w:val="nil"/>
              <w:left w:val="nil"/>
              <w:bottom w:val="nil"/>
              <w:right w:val="nil"/>
            </w:tcBorders>
            <w:shd w:val="clear" w:color="auto" w:fill="auto"/>
          </w:tcPr>
          <w:p w:rsidR="00816C00" w:rsidRPr="008A359D" w:rsidRDefault="00816C00" w:rsidP="00581DB9">
            <w:pPr>
              <w:autoSpaceDE w:val="0"/>
              <w:autoSpaceDN w:val="0"/>
              <w:adjustRightInd w:val="0"/>
              <w:ind w:left="60" w:right="60"/>
              <w:jc w:val="right"/>
              <w:rPr>
                <w:sz w:val="20"/>
                <w:szCs w:val="20"/>
              </w:rPr>
            </w:pPr>
            <w:r w:rsidRPr="008A359D">
              <w:rPr>
                <w:sz w:val="20"/>
                <w:szCs w:val="20"/>
              </w:rPr>
              <w:t>5</w:t>
            </w:r>
          </w:p>
        </w:tc>
        <w:tc>
          <w:tcPr>
            <w:tcW w:w="1030" w:type="dxa"/>
            <w:tcBorders>
              <w:top w:val="nil"/>
              <w:left w:val="nil"/>
              <w:bottom w:val="nil"/>
              <w:right w:val="nil"/>
            </w:tcBorders>
            <w:shd w:val="clear" w:color="auto" w:fill="auto"/>
          </w:tcPr>
          <w:p w:rsidR="00816C00" w:rsidRPr="008A359D" w:rsidRDefault="00816C00" w:rsidP="00581DB9">
            <w:pPr>
              <w:autoSpaceDE w:val="0"/>
              <w:autoSpaceDN w:val="0"/>
              <w:adjustRightInd w:val="0"/>
              <w:ind w:left="60" w:right="60"/>
              <w:jc w:val="right"/>
              <w:rPr>
                <w:sz w:val="20"/>
                <w:szCs w:val="20"/>
              </w:rPr>
            </w:pPr>
            <w:r w:rsidRPr="008A359D">
              <w:rPr>
                <w:sz w:val="20"/>
                <w:szCs w:val="20"/>
              </w:rPr>
              <w:t>,200</w:t>
            </w:r>
            <w:r w:rsidRPr="008A359D">
              <w:rPr>
                <w:sz w:val="20"/>
                <w:szCs w:val="20"/>
                <w:vertAlign w:val="superscript"/>
              </w:rPr>
              <w:t>*</w:t>
            </w:r>
          </w:p>
        </w:tc>
        <w:tc>
          <w:tcPr>
            <w:tcW w:w="1030" w:type="dxa"/>
            <w:tcBorders>
              <w:top w:val="nil"/>
              <w:left w:val="nil"/>
              <w:bottom w:val="nil"/>
              <w:right w:val="nil"/>
            </w:tcBorders>
            <w:shd w:val="clear" w:color="auto" w:fill="auto"/>
          </w:tcPr>
          <w:p w:rsidR="00816C00" w:rsidRPr="008A359D" w:rsidRDefault="00816C00" w:rsidP="00581DB9">
            <w:pPr>
              <w:autoSpaceDE w:val="0"/>
              <w:autoSpaceDN w:val="0"/>
              <w:adjustRightInd w:val="0"/>
              <w:ind w:left="60" w:right="60"/>
              <w:jc w:val="right"/>
              <w:rPr>
                <w:rFonts w:ascii="Arial" w:hAnsi="Arial" w:cs="Arial"/>
                <w:sz w:val="18"/>
                <w:szCs w:val="18"/>
              </w:rPr>
            </w:pPr>
            <w:r w:rsidRPr="008A359D">
              <w:rPr>
                <w:rFonts w:ascii="Arial" w:hAnsi="Arial" w:cs="Arial"/>
                <w:sz w:val="18"/>
                <w:szCs w:val="18"/>
              </w:rPr>
              <w:t>,950</w:t>
            </w:r>
          </w:p>
        </w:tc>
        <w:tc>
          <w:tcPr>
            <w:tcW w:w="1030" w:type="dxa"/>
            <w:tcBorders>
              <w:top w:val="nil"/>
              <w:left w:val="nil"/>
              <w:bottom w:val="nil"/>
              <w:right w:val="nil"/>
            </w:tcBorders>
            <w:shd w:val="clear" w:color="auto" w:fill="auto"/>
          </w:tcPr>
          <w:p w:rsidR="00816C00" w:rsidRPr="008A359D" w:rsidRDefault="00816C00" w:rsidP="00581DB9">
            <w:pPr>
              <w:autoSpaceDE w:val="0"/>
              <w:autoSpaceDN w:val="0"/>
              <w:adjustRightInd w:val="0"/>
              <w:ind w:left="60" w:right="60"/>
              <w:jc w:val="right"/>
              <w:rPr>
                <w:rFonts w:ascii="Arial" w:hAnsi="Arial" w:cs="Arial"/>
                <w:sz w:val="18"/>
                <w:szCs w:val="18"/>
              </w:rPr>
            </w:pPr>
            <w:r w:rsidRPr="008A359D">
              <w:rPr>
                <w:rFonts w:ascii="Arial" w:hAnsi="Arial" w:cs="Arial"/>
                <w:sz w:val="18"/>
                <w:szCs w:val="18"/>
              </w:rPr>
              <w:t>5</w:t>
            </w:r>
          </w:p>
        </w:tc>
        <w:tc>
          <w:tcPr>
            <w:tcW w:w="1030" w:type="dxa"/>
            <w:tcBorders>
              <w:top w:val="nil"/>
              <w:left w:val="nil"/>
              <w:bottom w:val="nil"/>
              <w:right w:val="nil"/>
            </w:tcBorders>
            <w:shd w:val="clear" w:color="auto" w:fill="auto"/>
          </w:tcPr>
          <w:p w:rsidR="00816C00" w:rsidRPr="008A359D" w:rsidRDefault="00816C00" w:rsidP="00581DB9">
            <w:pPr>
              <w:autoSpaceDE w:val="0"/>
              <w:autoSpaceDN w:val="0"/>
              <w:adjustRightInd w:val="0"/>
              <w:ind w:left="60" w:right="60"/>
              <w:jc w:val="right"/>
              <w:rPr>
                <w:rFonts w:ascii="Arial" w:hAnsi="Arial" w:cs="Arial"/>
                <w:sz w:val="18"/>
                <w:szCs w:val="18"/>
              </w:rPr>
            </w:pPr>
            <w:r w:rsidRPr="008A359D">
              <w:rPr>
                <w:rFonts w:ascii="Arial" w:hAnsi="Arial" w:cs="Arial"/>
                <w:sz w:val="18"/>
                <w:szCs w:val="18"/>
              </w:rPr>
              <w:t>,738</w:t>
            </w:r>
          </w:p>
        </w:tc>
      </w:tr>
      <w:tr w:rsidR="00816C00" w:rsidRPr="008A359D" w:rsidTr="00581DB9">
        <w:trPr>
          <w:cantSplit/>
        </w:trPr>
        <w:tc>
          <w:tcPr>
            <w:tcW w:w="1598" w:type="dxa"/>
            <w:tcBorders>
              <w:top w:val="nil"/>
              <w:left w:val="nil"/>
              <w:bottom w:val="single" w:sz="4" w:space="0" w:color="auto"/>
              <w:right w:val="nil"/>
            </w:tcBorders>
            <w:shd w:val="clear" w:color="auto" w:fill="auto"/>
          </w:tcPr>
          <w:p w:rsidR="00816C00" w:rsidRPr="008A359D" w:rsidRDefault="00816C00" w:rsidP="00581DB9">
            <w:pPr>
              <w:autoSpaceDE w:val="0"/>
              <w:autoSpaceDN w:val="0"/>
              <w:adjustRightInd w:val="0"/>
              <w:ind w:left="60" w:right="60"/>
              <w:rPr>
                <w:rFonts w:ascii="Arial" w:hAnsi="Arial" w:cs="Arial"/>
                <w:sz w:val="18"/>
                <w:szCs w:val="18"/>
              </w:rPr>
            </w:pPr>
            <w:r w:rsidRPr="008A359D">
              <w:rPr>
                <w:rFonts w:ascii="Arial" w:hAnsi="Arial" w:cs="Arial"/>
                <w:sz w:val="18"/>
                <w:szCs w:val="18"/>
              </w:rPr>
              <w:t>MEI (Ketika)</w:t>
            </w:r>
          </w:p>
        </w:tc>
        <w:tc>
          <w:tcPr>
            <w:tcW w:w="1030" w:type="dxa"/>
            <w:tcBorders>
              <w:top w:val="nil"/>
              <w:left w:val="nil"/>
              <w:bottom w:val="single" w:sz="4" w:space="0" w:color="auto"/>
              <w:right w:val="nil"/>
            </w:tcBorders>
            <w:shd w:val="clear" w:color="auto" w:fill="auto"/>
          </w:tcPr>
          <w:p w:rsidR="00816C00" w:rsidRPr="008A359D" w:rsidRDefault="00816C00" w:rsidP="00581DB9">
            <w:pPr>
              <w:autoSpaceDE w:val="0"/>
              <w:autoSpaceDN w:val="0"/>
              <w:adjustRightInd w:val="0"/>
              <w:ind w:left="60" w:right="60"/>
              <w:jc w:val="right"/>
              <w:rPr>
                <w:rFonts w:ascii="Arial" w:hAnsi="Arial" w:cs="Arial"/>
                <w:sz w:val="18"/>
                <w:szCs w:val="18"/>
              </w:rPr>
            </w:pPr>
            <w:r w:rsidRPr="008A359D">
              <w:rPr>
                <w:rFonts w:ascii="Arial" w:hAnsi="Arial" w:cs="Arial"/>
                <w:sz w:val="18"/>
                <w:szCs w:val="18"/>
              </w:rPr>
              <w:t>,187</w:t>
            </w:r>
          </w:p>
        </w:tc>
        <w:tc>
          <w:tcPr>
            <w:tcW w:w="1030" w:type="dxa"/>
            <w:tcBorders>
              <w:top w:val="nil"/>
              <w:left w:val="nil"/>
              <w:bottom w:val="single" w:sz="4" w:space="0" w:color="auto"/>
              <w:right w:val="nil"/>
            </w:tcBorders>
            <w:shd w:val="clear" w:color="auto" w:fill="auto"/>
          </w:tcPr>
          <w:p w:rsidR="00816C00" w:rsidRPr="008A359D" w:rsidRDefault="00816C00" w:rsidP="00581DB9">
            <w:pPr>
              <w:autoSpaceDE w:val="0"/>
              <w:autoSpaceDN w:val="0"/>
              <w:adjustRightInd w:val="0"/>
              <w:ind w:left="60" w:right="60"/>
              <w:jc w:val="right"/>
              <w:rPr>
                <w:sz w:val="20"/>
                <w:szCs w:val="20"/>
              </w:rPr>
            </w:pPr>
            <w:r w:rsidRPr="008A359D">
              <w:rPr>
                <w:sz w:val="20"/>
                <w:szCs w:val="20"/>
              </w:rPr>
              <w:t>5</w:t>
            </w:r>
          </w:p>
        </w:tc>
        <w:tc>
          <w:tcPr>
            <w:tcW w:w="1030" w:type="dxa"/>
            <w:tcBorders>
              <w:top w:val="nil"/>
              <w:left w:val="nil"/>
              <w:bottom w:val="single" w:sz="4" w:space="0" w:color="auto"/>
              <w:right w:val="nil"/>
            </w:tcBorders>
            <w:shd w:val="clear" w:color="auto" w:fill="auto"/>
          </w:tcPr>
          <w:p w:rsidR="00816C00" w:rsidRPr="008A359D" w:rsidRDefault="00816C00" w:rsidP="00581DB9">
            <w:pPr>
              <w:autoSpaceDE w:val="0"/>
              <w:autoSpaceDN w:val="0"/>
              <w:adjustRightInd w:val="0"/>
              <w:ind w:left="60" w:right="60"/>
              <w:jc w:val="right"/>
              <w:rPr>
                <w:sz w:val="20"/>
                <w:szCs w:val="20"/>
              </w:rPr>
            </w:pPr>
            <w:r w:rsidRPr="008A359D">
              <w:rPr>
                <w:sz w:val="20"/>
                <w:szCs w:val="20"/>
              </w:rPr>
              <w:t>,200</w:t>
            </w:r>
            <w:r w:rsidRPr="008A359D">
              <w:rPr>
                <w:sz w:val="20"/>
                <w:szCs w:val="20"/>
                <w:vertAlign w:val="superscript"/>
              </w:rPr>
              <w:t>*</w:t>
            </w:r>
          </w:p>
        </w:tc>
        <w:tc>
          <w:tcPr>
            <w:tcW w:w="1030" w:type="dxa"/>
            <w:tcBorders>
              <w:top w:val="nil"/>
              <w:left w:val="nil"/>
              <w:bottom w:val="single" w:sz="4" w:space="0" w:color="auto"/>
              <w:right w:val="nil"/>
            </w:tcBorders>
            <w:shd w:val="clear" w:color="auto" w:fill="auto"/>
          </w:tcPr>
          <w:p w:rsidR="00816C00" w:rsidRPr="008A359D" w:rsidRDefault="00816C00" w:rsidP="00581DB9">
            <w:pPr>
              <w:autoSpaceDE w:val="0"/>
              <w:autoSpaceDN w:val="0"/>
              <w:adjustRightInd w:val="0"/>
              <w:ind w:left="60" w:right="60"/>
              <w:jc w:val="right"/>
              <w:rPr>
                <w:rFonts w:ascii="Arial" w:hAnsi="Arial" w:cs="Arial"/>
                <w:sz w:val="18"/>
                <w:szCs w:val="18"/>
              </w:rPr>
            </w:pPr>
            <w:r w:rsidRPr="008A359D">
              <w:rPr>
                <w:rFonts w:ascii="Arial" w:hAnsi="Arial" w:cs="Arial"/>
                <w:sz w:val="18"/>
                <w:szCs w:val="18"/>
              </w:rPr>
              <w:t>,953</w:t>
            </w:r>
          </w:p>
        </w:tc>
        <w:tc>
          <w:tcPr>
            <w:tcW w:w="1030" w:type="dxa"/>
            <w:tcBorders>
              <w:top w:val="nil"/>
              <w:left w:val="nil"/>
              <w:bottom w:val="single" w:sz="4" w:space="0" w:color="auto"/>
              <w:right w:val="nil"/>
            </w:tcBorders>
            <w:shd w:val="clear" w:color="auto" w:fill="auto"/>
          </w:tcPr>
          <w:p w:rsidR="00816C00" w:rsidRPr="008A359D" w:rsidRDefault="00816C00" w:rsidP="00581DB9">
            <w:pPr>
              <w:autoSpaceDE w:val="0"/>
              <w:autoSpaceDN w:val="0"/>
              <w:adjustRightInd w:val="0"/>
              <w:ind w:left="60" w:right="60"/>
              <w:jc w:val="right"/>
              <w:rPr>
                <w:rFonts w:ascii="Arial" w:hAnsi="Arial" w:cs="Arial"/>
                <w:sz w:val="18"/>
                <w:szCs w:val="18"/>
              </w:rPr>
            </w:pPr>
            <w:r w:rsidRPr="008A359D">
              <w:rPr>
                <w:rFonts w:ascii="Arial" w:hAnsi="Arial" w:cs="Arial"/>
                <w:sz w:val="18"/>
                <w:szCs w:val="18"/>
              </w:rPr>
              <w:t>5</w:t>
            </w:r>
          </w:p>
        </w:tc>
        <w:tc>
          <w:tcPr>
            <w:tcW w:w="1030" w:type="dxa"/>
            <w:tcBorders>
              <w:top w:val="nil"/>
              <w:left w:val="nil"/>
              <w:bottom w:val="single" w:sz="4" w:space="0" w:color="auto"/>
              <w:right w:val="nil"/>
            </w:tcBorders>
            <w:shd w:val="clear" w:color="auto" w:fill="auto"/>
          </w:tcPr>
          <w:p w:rsidR="00816C00" w:rsidRPr="008A359D" w:rsidRDefault="00816C00" w:rsidP="00581DB9">
            <w:pPr>
              <w:autoSpaceDE w:val="0"/>
              <w:autoSpaceDN w:val="0"/>
              <w:adjustRightInd w:val="0"/>
              <w:ind w:left="60" w:right="60"/>
              <w:jc w:val="right"/>
              <w:rPr>
                <w:rFonts w:ascii="Arial" w:hAnsi="Arial" w:cs="Arial"/>
                <w:sz w:val="18"/>
                <w:szCs w:val="18"/>
              </w:rPr>
            </w:pPr>
            <w:r w:rsidRPr="008A359D">
              <w:rPr>
                <w:rFonts w:ascii="Arial" w:hAnsi="Arial" w:cs="Arial"/>
                <w:sz w:val="18"/>
                <w:szCs w:val="18"/>
              </w:rPr>
              <w:t>,758</w:t>
            </w:r>
          </w:p>
        </w:tc>
      </w:tr>
      <w:tr w:rsidR="00816C00" w:rsidRPr="008A359D" w:rsidTr="00581DB9">
        <w:trPr>
          <w:cantSplit/>
        </w:trPr>
        <w:tc>
          <w:tcPr>
            <w:tcW w:w="7778" w:type="dxa"/>
            <w:gridSpan w:val="7"/>
            <w:tcBorders>
              <w:top w:val="single" w:sz="4" w:space="0" w:color="auto"/>
              <w:left w:val="nil"/>
              <w:bottom w:val="nil"/>
              <w:right w:val="nil"/>
            </w:tcBorders>
            <w:shd w:val="clear" w:color="auto" w:fill="auto"/>
          </w:tcPr>
          <w:p w:rsidR="00816C00" w:rsidRPr="008A359D" w:rsidRDefault="00816C00" w:rsidP="00581DB9">
            <w:pPr>
              <w:autoSpaceDE w:val="0"/>
              <w:autoSpaceDN w:val="0"/>
              <w:adjustRightInd w:val="0"/>
              <w:ind w:left="60" w:right="60"/>
              <w:rPr>
                <w:sz w:val="20"/>
                <w:szCs w:val="20"/>
              </w:rPr>
            </w:pPr>
            <w:r w:rsidRPr="008A359D">
              <w:rPr>
                <w:sz w:val="20"/>
                <w:szCs w:val="20"/>
              </w:rPr>
              <w:t>*. This is a lower bound of the true significance.</w:t>
            </w:r>
          </w:p>
        </w:tc>
      </w:tr>
      <w:tr w:rsidR="00816C00" w:rsidRPr="008A359D" w:rsidTr="00581DB9">
        <w:trPr>
          <w:cantSplit/>
        </w:trPr>
        <w:tc>
          <w:tcPr>
            <w:tcW w:w="7778" w:type="dxa"/>
            <w:gridSpan w:val="7"/>
            <w:tcBorders>
              <w:top w:val="nil"/>
              <w:left w:val="nil"/>
              <w:bottom w:val="nil"/>
              <w:right w:val="nil"/>
            </w:tcBorders>
            <w:shd w:val="clear" w:color="auto" w:fill="auto"/>
          </w:tcPr>
          <w:p w:rsidR="00816C00" w:rsidRPr="008A359D" w:rsidRDefault="00816C00" w:rsidP="00581DB9">
            <w:pPr>
              <w:autoSpaceDE w:val="0"/>
              <w:autoSpaceDN w:val="0"/>
              <w:adjustRightInd w:val="0"/>
              <w:ind w:left="60" w:right="60"/>
              <w:rPr>
                <w:sz w:val="20"/>
                <w:szCs w:val="20"/>
              </w:rPr>
            </w:pPr>
            <w:r w:rsidRPr="008A359D">
              <w:rPr>
                <w:sz w:val="20"/>
                <w:szCs w:val="20"/>
              </w:rPr>
              <w:t>a. Lilliefors Significance Correction</w:t>
            </w:r>
          </w:p>
        </w:tc>
      </w:tr>
    </w:tbl>
    <w:p w:rsidR="00816C00" w:rsidRPr="008A359D" w:rsidRDefault="00816C00" w:rsidP="00816C00">
      <w:pPr>
        <w:pStyle w:val="ListParagraph"/>
        <w:ind w:left="0" w:firstLine="284"/>
        <w:jc w:val="both"/>
        <w:rPr>
          <w:sz w:val="20"/>
          <w:szCs w:val="20"/>
        </w:rPr>
      </w:pPr>
      <w:r w:rsidRPr="008A359D">
        <w:rPr>
          <w:sz w:val="20"/>
          <w:szCs w:val="20"/>
        </w:rPr>
        <w:t xml:space="preserve">Berdasarkan hasil uji normalitas pada tabel 6 diketahui bahwa nilai rasio </w:t>
      </w:r>
      <w:r w:rsidRPr="008A359D">
        <w:rPr>
          <w:i/>
          <w:iCs/>
          <w:sz w:val="20"/>
          <w:szCs w:val="20"/>
        </w:rPr>
        <w:t>CAMEL</w:t>
      </w:r>
      <w:r w:rsidRPr="008A359D">
        <w:rPr>
          <w:sz w:val="20"/>
          <w:szCs w:val="20"/>
        </w:rPr>
        <w:t xml:space="preserve"> pada saat sebelum dan ketika serangan </w:t>
      </w:r>
      <w:r w:rsidRPr="008A359D">
        <w:rPr>
          <w:i/>
          <w:iCs/>
          <w:sz w:val="20"/>
          <w:szCs w:val="20"/>
        </w:rPr>
        <w:t>cyber</w:t>
      </w:r>
      <w:r w:rsidRPr="008A359D">
        <w:rPr>
          <w:sz w:val="20"/>
          <w:szCs w:val="20"/>
        </w:rPr>
        <w:t xml:space="preserve"> memiliki probabilitas </w:t>
      </w:r>
      <w:r w:rsidRPr="008A359D">
        <w:rPr>
          <w:sz w:val="20"/>
          <w:szCs w:val="20"/>
          <w:u w:val="single"/>
        </w:rPr>
        <w:t>&gt;</w:t>
      </w:r>
      <w:r w:rsidRPr="008A359D">
        <w:rPr>
          <w:sz w:val="20"/>
          <w:szCs w:val="20"/>
        </w:rPr>
        <w:t xml:space="preserve"> 0,05. Dengan demikian dapat disimpulkan bahwa nilai rasio </w:t>
      </w:r>
      <w:r w:rsidRPr="008A359D">
        <w:rPr>
          <w:i/>
          <w:iCs/>
          <w:sz w:val="20"/>
          <w:szCs w:val="20"/>
        </w:rPr>
        <w:t>CAMEL</w:t>
      </w:r>
      <w:r w:rsidRPr="008A359D">
        <w:rPr>
          <w:sz w:val="20"/>
          <w:szCs w:val="20"/>
        </w:rPr>
        <w:t xml:space="preserve"> pada saat sebelum dan ketika serangan </w:t>
      </w:r>
      <w:r w:rsidRPr="008A359D">
        <w:rPr>
          <w:i/>
          <w:iCs/>
          <w:sz w:val="20"/>
          <w:szCs w:val="20"/>
        </w:rPr>
        <w:t>cyber</w:t>
      </w:r>
      <w:r w:rsidRPr="008A359D">
        <w:rPr>
          <w:sz w:val="20"/>
          <w:szCs w:val="20"/>
        </w:rPr>
        <w:t xml:space="preserve"> memiliki variabel yang berdistribusi normal.</w:t>
      </w:r>
    </w:p>
    <w:p w:rsidR="00816C00" w:rsidRPr="008A359D" w:rsidRDefault="00816C00" w:rsidP="00816C00">
      <w:pPr>
        <w:rPr>
          <w:sz w:val="20"/>
          <w:szCs w:val="20"/>
        </w:rPr>
      </w:pPr>
    </w:p>
    <w:p w:rsidR="00816C00" w:rsidRPr="008A359D" w:rsidRDefault="00816C00" w:rsidP="00816C00">
      <w:pPr>
        <w:rPr>
          <w:b/>
          <w:bCs/>
          <w:sz w:val="20"/>
          <w:szCs w:val="20"/>
        </w:rPr>
      </w:pPr>
      <w:r w:rsidRPr="008A359D">
        <w:rPr>
          <w:b/>
          <w:bCs/>
          <w:sz w:val="20"/>
          <w:szCs w:val="20"/>
        </w:rPr>
        <w:t>Analisis Statistik Deskriptif</w:t>
      </w:r>
    </w:p>
    <w:p w:rsidR="00816C00" w:rsidRPr="008A359D" w:rsidRDefault="00816C00" w:rsidP="00816C00">
      <w:pPr>
        <w:ind w:firstLine="284"/>
        <w:rPr>
          <w:sz w:val="20"/>
          <w:szCs w:val="20"/>
        </w:rPr>
      </w:pPr>
      <w:r w:rsidRPr="008A359D">
        <w:rPr>
          <w:sz w:val="20"/>
          <w:szCs w:val="20"/>
        </w:rPr>
        <w:t xml:space="preserve">Berikut merupakan hasil statistik deskriptif rasio </w:t>
      </w:r>
      <w:r w:rsidRPr="008A359D">
        <w:rPr>
          <w:i/>
          <w:iCs/>
          <w:sz w:val="20"/>
          <w:szCs w:val="20"/>
        </w:rPr>
        <w:t>CAMEL</w:t>
      </w:r>
      <w:r w:rsidRPr="008A359D">
        <w:rPr>
          <w:sz w:val="20"/>
          <w:szCs w:val="20"/>
        </w:rPr>
        <w:t xml:space="preserve"> BSI sebelum dan ketika serangan </w:t>
      </w:r>
      <w:r w:rsidRPr="008A359D">
        <w:rPr>
          <w:i/>
          <w:iCs/>
          <w:sz w:val="20"/>
          <w:szCs w:val="20"/>
        </w:rPr>
        <w:t>cyber</w:t>
      </w:r>
      <w:r w:rsidRPr="008A359D">
        <w:rPr>
          <w:sz w:val="20"/>
          <w:szCs w:val="20"/>
        </w:rPr>
        <w:t xml:space="preserve"> menggunakan SPSS yang tersaji dalam tabel 6.</w:t>
      </w:r>
    </w:p>
    <w:p w:rsidR="00816C00" w:rsidRPr="008A359D" w:rsidRDefault="00816C00" w:rsidP="00816C00">
      <w:pPr>
        <w:jc w:val="center"/>
        <w:rPr>
          <w:sz w:val="20"/>
          <w:szCs w:val="20"/>
        </w:rPr>
      </w:pPr>
      <w:r w:rsidRPr="008A359D">
        <w:rPr>
          <w:sz w:val="20"/>
          <w:szCs w:val="20"/>
        </w:rPr>
        <w:t>Tabel 6. Hasil Statistik Deskriptif SPSS</w:t>
      </w:r>
    </w:p>
    <w:tbl>
      <w:tblPr>
        <w:tblpPr w:leftFromText="180" w:rightFromText="180" w:vertAnchor="text" w:horzAnchor="margin" w:tblpXSpec="center" w:tblpY="148"/>
        <w:tblW w:w="7455" w:type="dxa"/>
        <w:tblLayout w:type="fixed"/>
        <w:tblCellMar>
          <w:left w:w="0" w:type="dxa"/>
          <w:right w:w="0" w:type="dxa"/>
        </w:tblCellMar>
        <w:tblLook w:val="0000" w:firstRow="0" w:lastRow="0" w:firstColumn="0" w:lastColumn="0" w:noHBand="0" w:noVBand="0"/>
      </w:tblPr>
      <w:tblGrid>
        <w:gridCol w:w="1706"/>
        <w:gridCol w:w="1029"/>
        <w:gridCol w:w="1076"/>
        <w:gridCol w:w="1107"/>
        <w:gridCol w:w="1092"/>
        <w:gridCol w:w="1445"/>
      </w:tblGrid>
      <w:tr w:rsidR="00816C00" w:rsidRPr="008A359D" w:rsidTr="00581DB9">
        <w:trPr>
          <w:cantSplit/>
        </w:trPr>
        <w:tc>
          <w:tcPr>
            <w:tcW w:w="7455" w:type="dxa"/>
            <w:gridSpan w:val="6"/>
            <w:tcBorders>
              <w:top w:val="single" w:sz="4" w:space="0" w:color="auto"/>
              <w:bottom w:val="single" w:sz="4" w:space="0" w:color="auto"/>
            </w:tcBorders>
            <w:shd w:val="clear" w:color="auto" w:fill="auto"/>
            <w:vAlign w:val="center"/>
          </w:tcPr>
          <w:p w:rsidR="00816C00" w:rsidRPr="008A359D" w:rsidRDefault="00816C00" w:rsidP="00581DB9">
            <w:pPr>
              <w:autoSpaceDE w:val="0"/>
              <w:autoSpaceDN w:val="0"/>
              <w:adjustRightInd w:val="0"/>
              <w:ind w:left="60" w:right="60"/>
              <w:jc w:val="center"/>
              <w:rPr>
                <w:sz w:val="20"/>
                <w:szCs w:val="20"/>
              </w:rPr>
            </w:pPr>
            <w:r w:rsidRPr="008A359D">
              <w:rPr>
                <w:b/>
                <w:bCs/>
                <w:sz w:val="20"/>
                <w:szCs w:val="20"/>
              </w:rPr>
              <w:t>Descriptive Statistics</w:t>
            </w:r>
          </w:p>
        </w:tc>
      </w:tr>
      <w:tr w:rsidR="00816C00" w:rsidRPr="008A359D" w:rsidTr="005C03F6">
        <w:trPr>
          <w:cantSplit/>
        </w:trPr>
        <w:tc>
          <w:tcPr>
            <w:tcW w:w="1706" w:type="dxa"/>
            <w:tcBorders>
              <w:top w:val="single" w:sz="4" w:space="0" w:color="auto"/>
            </w:tcBorders>
            <w:shd w:val="clear" w:color="auto" w:fill="auto"/>
            <w:vAlign w:val="bottom"/>
          </w:tcPr>
          <w:p w:rsidR="00816C00" w:rsidRPr="008A359D" w:rsidRDefault="00816C00" w:rsidP="00581DB9">
            <w:pPr>
              <w:autoSpaceDE w:val="0"/>
              <w:autoSpaceDN w:val="0"/>
              <w:adjustRightInd w:val="0"/>
              <w:rPr>
                <w:sz w:val="20"/>
                <w:szCs w:val="20"/>
              </w:rPr>
            </w:pPr>
          </w:p>
        </w:tc>
        <w:tc>
          <w:tcPr>
            <w:tcW w:w="1029" w:type="dxa"/>
            <w:tcBorders>
              <w:top w:val="single" w:sz="4" w:space="0" w:color="auto"/>
            </w:tcBorders>
            <w:shd w:val="clear" w:color="auto" w:fill="auto"/>
            <w:vAlign w:val="bottom"/>
          </w:tcPr>
          <w:p w:rsidR="00816C00" w:rsidRPr="008A359D" w:rsidRDefault="00816C00" w:rsidP="00581DB9">
            <w:pPr>
              <w:autoSpaceDE w:val="0"/>
              <w:autoSpaceDN w:val="0"/>
              <w:adjustRightInd w:val="0"/>
              <w:ind w:left="60" w:right="60"/>
              <w:jc w:val="center"/>
              <w:rPr>
                <w:sz w:val="20"/>
                <w:szCs w:val="20"/>
              </w:rPr>
            </w:pPr>
            <w:r w:rsidRPr="008A359D">
              <w:rPr>
                <w:sz w:val="20"/>
                <w:szCs w:val="20"/>
              </w:rPr>
              <w:t>N</w:t>
            </w:r>
          </w:p>
        </w:tc>
        <w:tc>
          <w:tcPr>
            <w:tcW w:w="1076" w:type="dxa"/>
            <w:tcBorders>
              <w:top w:val="single" w:sz="4" w:space="0" w:color="auto"/>
            </w:tcBorders>
            <w:shd w:val="clear" w:color="auto" w:fill="auto"/>
            <w:vAlign w:val="bottom"/>
          </w:tcPr>
          <w:p w:rsidR="00816C00" w:rsidRPr="008A359D" w:rsidRDefault="00816C00" w:rsidP="00581DB9">
            <w:pPr>
              <w:autoSpaceDE w:val="0"/>
              <w:autoSpaceDN w:val="0"/>
              <w:adjustRightInd w:val="0"/>
              <w:ind w:left="60" w:right="60"/>
              <w:jc w:val="center"/>
              <w:rPr>
                <w:sz w:val="20"/>
                <w:szCs w:val="20"/>
              </w:rPr>
            </w:pPr>
            <w:r w:rsidRPr="008A359D">
              <w:rPr>
                <w:sz w:val="20"/>
                <w:szCs w:val="20"/>
              </w:rPr>
              <w:t>Minimum</w:t>
            </w:r>
          </w:p>
        </w:tc>
        <w:tc>
          <w:tcPr>
            <w:tcW w:w="1107" w:type="dxa"/>
            <w:tcBorders>
              <w:top w:val="single" w:sz="4" w:space="0" w:color="auto"/>
            </w:tcBorders>
            <w:shd w:val="clear" w:color="auto" w:fill="auto"/>
            <w:vAlign w:val="bottom"/>
          </w:tcPr>
          <w:p w:rsidR="00816C00" w:rsidRPr="008A359D" w:rsidRDefault="00816C00" w:rsidP="00581DB9">
            <w:pPr>
              <w:autoSpaceDE w:val="0"/>
              <w:autoSpaceDN w:val="0"/>
              <w:adjustRightInd w:val="0"/>
              <w:ind w:left="60" w:right="60"/>
              <w:jc w:val="center"/>
              <w:rPr>
                <w:sz w:val="20"/>
                <w:szCs w:val="20"/>
              </w:rPr>
            </w:pPr>
            <w:r w:rsidRPr="008A359D">
              <w:rPr>
                <w:sz w:val="20"/>
                <w:szCs w:val="20"/>
              </w:rPr>
              <w:t>Maximum</w:t>
            </w:r>
          </w:p>
        </w:tc>
        <w:tc>
          <w:tcPr>
            <w:tcW w:w="1092" w:type="dxa"/>
            <w:tcBorders>
              <w:top w:val="single" w:sz="4" w:space="0" w:color="auto"/>
            </w:tcBorders>
            <w:shd w:val="clear" w:color="auto" w:fill="auto"/>
            <w:vAlign w:val="bottom"/>
          </w:tcPr>
          <w:p w:rsidR="00816C00" w:rsidRPr="008A359D" w:rsidRDefault="00816C00" w:rsidP="00581DB9">
            <w:pPr>
              <w:autoSpaceDE w:val="0"/>
              <w:autoSpaceDN w:val="0"/>
              <w:adjustRightInd w:val="0"/>
              <w:ind w:left="60" w:right="60"/>
              <w:jc w:val="center"/>
              <w:rPr>
                <w:sz w:val="20"/>
                <w:szCs w:val="20"/>
              </w:rPr>
            </w:pPr>
            <w:r w:rsidRPr="008A359D">
              <w:rPr>
                <w:sz w:val="20"/>
                <w:szCs w:val="20"/>
              </w:rPr>
              <w:t>Mean</w:t>
            </w:r>
          </w:p>
        </w:tc>
        <w:tc>
          <w:tcPr>
            <w:tcW w:w="1445" w:type="dxa"/>
            <w:tcBorders>
              <w:top w:val="single" w:sz="4" w:space="0" w:color="auto"/>
            </w:tcBorders>
            <w:shd w:val="clear" w:color="auto" w:fill="auto"/>
            <w:vAlign w:val="bottom"/>
          </w:tcPr>
          <w:p w:rsidR="00816C00" w:rsidRPr="008A359D" w:rsidRDefault="00816C00" w:rsidP="00581DB9">
            <w:pPr>
              <w:autoSpaceDE w:val="0"/>
              <w:autoSpaceDN w:val="0"/>
              <w:adjustRightInd w:val="0"/>
              <w:ind w:left="60" w:right="60"/>
              <w:jc w:val="center"/>
              <w:rPr>
                <w:sz w:val="20"/>
                <w:szCs w:val="20"/>
              </w:rPr>
            </w:pPr>
            <w:r w:rsidRPr="008A359D">
              <w:rPr>
                <w:sz w:val="20"/>
                <w:szCs w:val="20"/>
              </w:rPr>
              <w:t>Std. Deviation</w:t>
            </w:r>
          </w:p>
        </w:tc>
      </w:tr>
      <w:tr w:rsidR="00816C00" w:rsidRPr="008A359D" w:rsidTr="005C03F6">
        <w:trPr>
          <w:cantSplit/>
        </w:trPr>
        <w:tc>
          <w:tcPr>
            <w:tcW w:w="1706" w:type="dxa"/>
            <w:shd w:val="clear" w:color="auto" w:fill="auto"/>
          </w:tcPr>
          <w:p w:rsidR="00816C00" w:rsidRPr="008A359D" w:rsidRDefault="00816C00" w:rsidP="00581DB9">
            <w:pPr>
              <w:autoSpaceDE w:val="0"/>
              <w:autoSpaceDN w:val="0"/>
              <w:adjustRightInd w:val="0"/>
              <w:ind w:left="60" w:right="60"/>
              <w:rPr>
                <w:sz w:val="20"/>
                <w:szCs w:val="20"/>
              </w:rPr>
            </w:pPr>
            <w:r w:rsidRPr="008A359D">
              <w:rPr>
                <w:i/>
                <w:iCs/>
                <w:sz w:val="20"/>
                <w:szCs w:val="20"/>
              </w:rPr>
              <w:t>CAR</w:t>
            </w:r>
          </w:p>
        </w:tc>
        <w:tc>
          <w:tcPr>
            <w:tcW w:w="1029" w:type="dxa"/>
            <w:shd w:val="clear" w:color="auto" w:fill="auto"/>
          </w:tcPr>
          <w:p w:rsidR="00816C00" w:rsidRPr="008A359D" w:rsidRDefault="00816C00" w:rsidP="00581DB9">
            <w:pPr>
              <w:autoSpaceDE w:val="0"/>
              <w:autoSpaceDN w:val="0"/>
              <w:adjustRightInd w:val="0"/>
              <w:ind w:left="60" w:right="60"/>
              <w:jc w:val="right"/>
              <w:rPr>
                <w:sz w:val="20"/>
                <w:szCs w:val="20"/>
              </w:rPr>
            </w:pPr>
            <w:r w:rsidRPr="008A359D">
              <w:rPr>
                <w:sz w:val="20"/>
                <w:szCs w:val="20"/>
              </w:rPr>
              <w:t>2</w:t>
            </w:r>
          </w:p>
        </w:tc>
        <w:tc>
          <w:tcPr>
            <w:tcW w:w="1076" w:type="dxa"/>
            <w:shd w:val="clear" w:color="auto" w:fill="auto"/>
          </w:tcPr>
          <w:p w:rsidR="00816C00" w:rsidRPr="008A359D" w:rsidRDefault="00816C00" w:rsidP="00581DB9">
            <w:pPr>
              <w:autoSpaceDE w:val="0"/>
              <w:autoSpaceDN w:val="0"/>
              <w:adjustRightInd w:val="0"/>
              <w:ind w:left="60" w:right="60"/>
              <w:jc w:val="right"/>
              <w:rPr>
                <w:sz w:val="20"/>
                <w:szCs w:val="20"/>
              </w:rPr>
            </w:pPr>
            <w:r w:rsidRPr="008A359D">
              <w:rPr>
                <w:sz w:val="20"/>
                <w:szCs w:val="20"/>
              </w:rPr>
              <w:t>15,80</w:t>
            </w:r>
          </w:p>
        </w:tc>
        <w:tc>
          <w:tcPr>
            <w:tcW w:w="1107" w:type="dxa"/>
            <w:shd w:val="clear" w:color="auto" w:fill="auto"/>
          </w:tcPr>
          <w:p w:rsidR="00816C00" w:rsidRPr="008A359D" w:rsidRDefault="00816C00" w:rsidP="00581DB9">
            <w:pPr>
              <w:autoSpaceDE w:val="0"/>
              <w:autoSpaceDN w:val="0"/>
              <w:adjustRightInd w:val="0"/>
              <w:ind w:left="60" w:right="60"/>
              <w:jc w:val="right"/>
              <w:rPr>
                <w:sz w:val="20"/>
                <w:szCs w:val="20"/>
              </w:rPr>
            </w:pPr>
            <w:r w:rsidRPr="008A359D">
              <w:rPr>
                <w:sz w:val="20"/>
                <w:szCs w:val="20"/>
              </w:rPr>
              <w:t>16,15</w:t>
            </w:r>
          </w:p>
        </w:tc>
        <w:tc>
          <w:tcPr>
            <w:tcW w:w="1092" w:type="dxa"/>
            <w:shd w:val="clear" w:color="auto" w:fill="auto"/>
          </w:tcPr>
          <w:p w:rsidR="00816C00" w:rsidRPr="008A359D" w:rsidRDefault="00816C00" w:rsidP="00581DB9">
            <w:pPr>
              <w:autoSpaceDE w:val="0"/>
              <w:autoSpaceDN w:val="0"/>
              <w:adjustRightInd w:val="0"/>
              <w:ind w:left="60" w:right="60"/>
              <w:jc w:val="right"/>
              <w:rPr>
                <w:sz w:val="20"/>
                <w:szCs w:val="20"/>
              </w:rPr>
            </w:pPr>
            <w:r w:rsidRPr="008A359D">
              <w:rPr>
                <w:sz w:val="20"/>
                <w:szCs w:val="20"/>
              </w:rPr>
              <w:t>15,9750</w:t>
            </w:r>
          </w:p>
        </w:tc>
        <w:tc>
          <w:tcPr>
            <w:tcW w:w="1445" w:type="dxa"/>
            <w:shd w:val="clear" w:color="auto" w:fill="auto"/>
          </w:tcPr>
          <w:p w:rsidR="00816C00" w:rsidRPr="008A359D" w:rsidRDefault="00816C00" w:rsidP="00581DB9">
            <w:pPr>
              <w:autoSpaceDE w:val="0"/>
              <w:autoSpaceDN w:val="0"/>
              <w:adjustRightInd w:val="0"/>
              <w:ind w:left="60" w:right="60"/>
              <w:jc w:val="right"/>
              <w:rPr>
                <w:sz w:val="20"/>
                <w:szCs w:val="20"/>
              </w:rPr>
            </w:pPr>
            <w:r w:rsidRPr="008A359D">
              <w:rPr>
                <w:sz w:val="20"/>
                <w:szCs w:val="20"/>
              </w:rPr>
              <w:t>,24749</w:t>
            </w:r>
          </w:p>
        </w:tc>
      </w:tr>
      <w:tr w:rsidR="00816C00" w:rsidRPr="008A359D" w:rsidTr="00581DB9">
        <w:trPr>
          <w:cantSplit/>
        </w:trPr>
        <w:tc>
          <w:tcPr>
            <w:tcW w:w="1706" w:type="dxa"/>
            <w:shd w:val="clear" w:color="auto" w:fill="auto"/>
          </w:tcPr>
          <w:p w:rsidR="00816C00" w:rsidRPr="008A359D" w:rsidRDefault="00816C00" w:rsidP="00581DB9">
            <w:pPr>
              <w:autoSpaceDE w:val="0"/>
              <w:autoSpaceDN w:val="0"/>
              <w:adjustRightInd w:val="0"/>
              <w:ind w:left="60" w:right="60"/>
              <w:rPr>
                <w:sz w:val="20"/>
                <w:szCs w:val="20"/>
              </w:rPr>
            </w:pPr>
            <w:r w:rsidRPr="008A359D">
              <w:rPr>
                <w:i/>
                <w:iCs/>
                <w:sz w:val="20"/>
                <w:szCs w:val="20"/>
              </w:rPr>
              <w:t>ROA</w:t>
            </w:r>
          </w:p>
        </w:tc>
        <w:tc>
          <w:tcPr>
            <w:tcW w:w="1029" w:type="dxa"/>
            <w:shd w:val="clear" w:color="auto" w:fill="auto"/>
          </w:tcPr>
          <w:p w:rsidR="00816C00" w:rsidRPr="008A359D" w:rsidRDefault="00816C00" w:rsidP="00581DB9">
            <w:pPr>
              <w:autoSpaceDE w:val="0"/>
              <w:autoSpaceDN w:val="0"/>
              <w:adjustRightInd w:val="0"/>
              <w:ind w:left="60" w:right="60"/>
              <w:jc w:val="right"/>
              <w:rPr>
                <w:sz w:val="20"/>
                <w:szCs w:val="20"/>
              </w:rPr>
            </w:pPr>
            <w:r w:rsidRPr="008A359D">
              <w:rPr>
                <w:sz w:val="20"/>
                <w:szCs w:val="20"/>
              </w:rPr>
              <w:t>2</w:t>
            </w:r>
          </w:p>
        </w:tc>
        <w:tc>
          <w:tcPr>
            <w:tcW w:w="1076" w:type="dxa"/>
            <w:shd w:val="clear" w:color="auto" w:fill="auto"/>
          </w:tcPr>
          <w:p w:rsidR="00816C00" w:rsidRPr="008A359D" w:rsidRDefault="00816C00" w:rsidP="00581DB9">
            <w:pPr>
              <w:autoSpaceDE w:val="0"/>
              <w:autoSpaceDN w:val="0"/>
              <w:adjustRightInd w:val="0"/>
              <w:ind w:left="60" w:right="60"/>
              <w:jc w:val="right"/>
              <w:rPr>
                <w:sz w:val="20"/>
                <w:szCs w:val="20"/>
              </w:rPr>
            </w:pPr>
            <w:r w:rsidRPr="008A359D">
              <w:rPr>
                <w:sz w:val="20"/>
                <w:szCs w:val="20"/>
              </w:rPr>
              <w:t>,80</w:t>
            </w:r>
          </w:p>
        </w:tc>
        <w:tc>
          <w:tcPr>
            <w:tcW w:w="1107" w:type="dxa"/>
            <w:shd w:val="clear" w:color="auto" w:fill="auto"/>
          </w:tcPr>
          <w:p w:rsidR="00816C00" w:rsidRPr="008A359D" w:rsidRDefault="00816C00" w:rsidP="00581DB9">
            <w:pPr>
              <w:autoSpaceDE w:val="0"/>
              <w:autoSpaceDN w:val="0"/>
              <w:adjustRightInd w:val="0"/>
              <w:ind w:left="60" w:right="60"/>
              <w:jc w:val="right"/>
              <w:rPr>
                <w:sz w:val="20"/>
                <w:szCs w:val="20"/>
              </w:rPr>
            </w:pPr>
            <w:r w:rsidRPr="008A359D">
              <w:rPr>
                <w:sz w:val="20"/>
                <w:szCs w:val="20"/>
              </w:rPr>
              <w:t>,97</w:t>
            </w:r>
          </w:p>
        </w:tc>
        <w:tc>
          <w:tcPr>
            <w:tcW w:w="1092" w:type="dxa"/>
            <w:shd w:val="clear" w:color="auto" w:fill="auto"/>
          </w:tcPr>
          <w:p w:rsidR="00816C00" w:rsidRPr="008A359D" w:rsidRDefault="00816C00" w:rsidP="00581DB9">
            <w:pPr>
              <w:autoSpaceDE w:val="0"/>
              <w:autoSpaceDN w:val="0"/>
              <w:adjustRightInd w:val="0"/>
              <w:ind w:left="60" w:right="60"/>
              <w:jc w:val="right"/>
              <w:rPr>
                <w:sz w:val="20"/>
                <w:szCs w:val="20"/>
              </w:rPr>
            </w:pPr>
            <w:r w:rsidRPr="008A359D">
              <w:rPr>
                <w:sz w:val="20"/>
                <w:szCs w:val="20"/>
              </w:rPr>
              <w:t>,8850</w:t>
            </w:r>
          </w:p>
        </w:tc>
        <w:tc>
          <w:tcPr>
            <w:tcW w:w="1445" w:type="dxa"/>
            <w:shd w:val="clear" w:color="auto" w:fill="auto"/>
          </w:tcPr>
          <w:p w:rsidR="00816C00" w:rsidRPr="008A359D" w:rsidRDefault="00816C00" w:rsidP="00581DB9">
            <w:pPr>
              <w:autoSpaceDE w:val="0"/>
              <w:autoSpaceDN w:val="0"/>
              <w:adjustRightInd w:val="0"/>
              <w:ind w:left="60" w:right="60"/>
              <w:jc w:val="right"/>
              <w:rPr>
                <w:sz w:val="20"/>
                <w:szCs w:val="20"/>
              </w:rPr>
            </w:pPr>
            <w:r w:rsidRPr="008A359D">
              <w:rPr>
                <w:sz w:val="20"/>
                <w:szCs w:val="20"/>
              </w:rPr>
              <w:t>,12021</w:t>
            </w:r>
          </w:p>
        </w:tc>
      </w:tr>
      <w:tr w:rsidR="00816C00" w:rsidRPr="008A359D" w:rsidTr="00581DB9">
        <w:trPr>
          <w:cantSplit/>
        </w:trPr>
        <w:tc>
          <w:tcPr>
            <w:tcW w:w="1706" w:type="dxa"/>
            <w:shd w:val="clear" w:color="auto" w:fill="auto"/>
          </w:tcPr>
          <w:p w:rsidR="00816C00" w:rsidRPr="008A359D" w:rsidRDefault="00816C00" w:rsidP="00581DB9">
            <w:pPr>
              <w:autoSpaceDE w:val="0"/>
              <w:autoSpaceDN w:val="0"/>
              <w:adjustRightInd w:val="0"/>
              <w:ind w:left="60" w:right="60"/>
              <w:rPr>
                <w:sz w:val="20"/>
                <w:szCs w:val="20"/>
              </w:rPr>
            </w:pPr>
            <w:r w:rsidRPr="008A359D">
              <w:rPr>
                <w:i/>
                <w:iCs/>
                <w:sz w:val="20"/>
                <w:szCs w:val="20"/>
              </w:rPr>
              <w:t>NPM</w:t>
            </w:r>
          </w:p>
        </w:tc>
        <w:tc>
          <w:tcPr>
            <w:tcW w:w="1029" w:type="dxa"/>
            <w:shd w:val="clear" w:color="auto" w:fill="auto"/>
          </w:tcPr>
          <w:p w:rsidR="00816C00" w:rsidRPr="008A359D" w:rsidRDefault="00816C00" w:rsidP="00581DB9">
            <w:pPr>
              <w:autoSpaceDE w:val="0"/>
              <w:autoSpaceDN w:val="0"/>
              <w:adjustRightInd w:val="0"/>
              <w:ind w:left="60" w:right="60"/>
              <w:jc w:val="right"/>
              <w:rPr>
                <w:sz w:val="20"/>
                <w:szCs w:val="20"/>
              </w:rPr>
            </w:pPr>
            <w:r w:rsidRPr="008A359D">
              <w:rPr>
                <w:sz w:val="20"/>
                <w:szCs w:val="20"/>
              </w:rPr>
              <w:t>2</w:t>
            </w:r>
          </w:p>
        </w:tc>
        <w:tc>
          <w:tcPr>
            <w:tcW w:w="1076" w:type="dxa"/>
            <w:shd w:val="clear" w:color="auto" w:fill="auto"/>
          </w:tcPr>
          <w:p w:rsidR="00816C00" w:rsidRPr="008A359D" w:rsidRDefault="00816C00" w:rsidP="00581DB9">
            <w:pPr>
              <w:autoSpaceDE w:val="0"/>
              <w:autoSpaceDN w:val="0"/>
              <w:adjustRightInd w:val="0"/>
              <w:ind w:left="60" w:right="60"/>
              <w:jc w:val="right"/>
              <w:rPr>
                <w:sz w:val="20"/>
                <w:szCs w:val="20"/>
              </w:rPr>
            </w:pPr>
            <w:r w:rsidRPr="008A359D">
              <w:rPr>
                <w:sz w:val="20"/>
                <w:szCs w:val="20"/>
              </w:rPr>
              <w:t>99,00</w:t>
            </w:r>
          </w:p>
        </w:tc>
        <w:tc>
          <w:tcPr>
            <w:tcW w:w="1107" w:type="dxa"/>
            <w:shd w:val="clear" w:color="auto" w:fill="auto"/>
          </w:tcPr>
          <w:p w:rsidR="00816C00" w:rsidRPr="008A359D" w:rsidRDefault="00816C00" w:rsidP="00581DB9">
            <w:pPr>
              <w:autoSpaceDE w:val="0"/>
              <w:autoSpaceDN w:val="0"/>
              <w:adjustRightInd w:val="0"/>
              <w:ind w:left="60" w:right="60"/>
              <w:jc w:val="right"/>
              <w:rPr>
                <w:sz w:val="20"/>
                <w:szCs w:val="20"/>
              </w:rPr>
            </w:pPr>
            <w:r w:rsidRPr="008A359D">
              <w:rPr>
                <w:sz w:val="20"/>
                <w:szCs w:val="20"/>
              </w:rPr>
              <w:t>101,91</w:t>
            </w:r>
          </w:p>
        </w:tc>
        <w:tc>
          <w:tcPr>
            <w:tcW w:w="1092" w:type="dxa"/>
            <w:shd w:val="clear" w:color="auto" w:fill="auto"/>
          </w:tcPr>
          <w:p w:rsidR="00816C00" w:rsidRPr="008A359D" w:rsidRDefault="00816C00" w:rsidP="00581DB9">
            <w:pPr>
              <w:autoSpaceDE w:val="0"/>
              <w:autoSpaceDN w:val="0"/>
              <w:adjustRightInd w:val="0"/>
              <w:ind w:left="60" w:right="60"/>
              <w:jc w:val="right"/>
              <w:rPr>
                <w:sz w:val="20"/>
                <w:szCs w:val="20"/>
              </w:rPr>
            </w:pPr>
            <w:r w:rsidRPr="008A359D">
              <w:rPr>
                <w:sz w:val="20"/>
                <w:szCs w:val="20"/>
              </w:rPr>
              <w:t>100,4550</w:t>
            </w:r>
          </w:p>
        </w:tc>
        <w:tc>
          <w:tcPr>
            <w:tcW w:w="1445" w:type="dxa"/>
            <w:shd w:val="clear" w:color="auto" w:fill="auto"/>
          </w:tcPr>
          <w:p w:rsidR="00816C00" w:rsidRPr="008A359D" w:rsidRDefault="00816C00" w:rsidP="00581DB9">
            <w:pPr>
              <w:autoSpaceDE w:val="0"/>
              <w:autoSpaceDN w:val="0"/>
              <w:adjustRightInd w:val="0"/>
              <w:ind w:left="60" w:right="60"/>
              <w:jc w:val="right"/>
              <w:rPr>
                <w:sz w:val="20"/>
                <w:szCs w:val="20"/>
              </w:rPr>
            </w:pPr>
            <w:r w:rsidRPr="008A359D">
              <w:rPr>
                <w:sz w:val="20"/>
                <w:szCs w:val="20"/>
              </w:rPr>
              <w:t>2,05768</w:t>
            </w:r>
          </w:p>
        </w:tc>
      </w:tr>
      <w:tr w:rsidR="00816C00" w:rsidRPr="008A359D" w:rsidTr="00581DB9">
        <w:trPr>
          <w:cantSplit/>
        </w:trPr>
        <w:tc>
          <w:tcPr>
            <w:tcW w:w="1706" w:type="dxa"/>
            <w:shd w:val="clear" w:color="auto" w:fill="auto"/>
          </w:tcPr>
          <w:p w:rsidR="00816C00" w:rsidRPr="008A359D" w:rsidRDefault="00816C00" w:rsidP="00581DB9">
            <w:pPr>
              <w:autoSpaceDE w:val="0"/>
              <w:autoSpaceDN w:val="0"/>
              <w:adjustRightInd w:val="0"/>
              <w:ind w:left="60" w:right="60"/>
              <w:rPr>
                <w:sz w:val="20"/>
                <w:szCs w:val="20"/>
              </w:rPr>
            </w:pPr>
            <w:r w:rsidRPr="008A359D">
              <w:rPr>
                <w:i/>
                <w:iCs/>
                <w:sz w:val="20"/>
                <w:szCs w:val="20"/>
              </w:rPr>
              <w:t>BOPO</w:t>
            </w:r>
          </w:p>
        </w:tc>
        <w:tc>
          <w:tcPr>
            <w:tcW w:w="1029" w:type="dxa"/>
            <w:shd w:val="clear" w:color="auto" w:fill="auto"/>
          </w:tcPr>
          <w:p w:rsidR="00816C00" w:rsidRPr="008A359D" w:rsidRDefault="00816C00" w:rsidP="00581DB9">
            <w:pPr>
              <w:autoSpaceDE w:val="0"/>
              <w:autoSpaceDN w:val="0"/>
              <w:adjustRightInd w:val="0"/>
              <w:ind w:left="60" w:right="60"/>
              <w:jc w:val="right"/>
              <w:rPr>
                <w:sz w:val="20"/>
                <w:szCs w:val="20"/>
              </w:rPr>
            </w:pPr>
            <w:r w:rsidRPr="008A359D">
              <w:rPr>
                <w:sz w:val="20"/>
                <w:szCs w:val="20"/>
              </w:rPr>
              <w:t>2</w:t>
            </w:r>
          </w:p>
        </w:tc>
        <w:tc>
          <w:tcPr>
            <w:tcW w:w="1076" w:type="dxa"/>
            <w:shd w:val="clear" w:color="auto" w:fill="auto"/>
          </w:tcPr>
          <w:p w:rsidR="00816C00" w:rsidRPr="008A359D" w:rsidRDefault="00816C00" w:rsidP="00581DB9">
            <w:pPr>
              <w:autoSpaceDE w:val="0"/>
              <w:autoSpaceDN w:val="0"/>
              <w:adjustRightInd w:val="0"/>
              <w:ind w:left="60" w:right="60"/>
              <w:jc w:val="right"/>
              <w:rPr>
                <w:sz w:val="20"/>
                <w:szCs w:val="20"/>
              </w:rPr>
            </w:pPr>
            <w:r w:rsidRPr="008A359D">
              <w:rPr>
                <w:sz w:val="20"/>
                <w:szCs w:val="20"/>
              </w:rPr>
              <w:t>54,99</w:t>
            </w:r>
          </w:p>
        </w:tc>
        <w:tc>
          <w:tcPr>
            <w:tcW w:w="1107" w:type="dxa"/>
            <w:shd w:val="clear" w:color="auto" w:fill="auto"/>
          </w:tcPr>
          <w:p w:rsidR="00816C00" w:rsidRPr="008A359D" w:rsidRDefault="00816C00" w:rsidP="00581DB9">
            <w:pPr>
              <w:autoSpaceDE w:val="0"/>
              <w:autoSpaceDN w:val="0"/>
              <w:adjustRightInd w:val="0"/>
              <w:ind w:left="60" w:right="60"/>
              <w:jc w:val="right"/>
              <w:rPr>
                <w:sz w:val="20"/>
                <w:szCs w:val="20"/>
              </w:rPr>
            </w:pPr>
            <w:r w:rsidRPr="008A359D">
              <w:rPr>
                <w:sz w:val="20"/>
                <w:szCs w:val="20"/>
              </w:rPr>
              <w:t>55,90</w:t>
            </w:r>
          </w:p>
        </w:tc>
        <w:tc>
          <w:tcPr>
            <w:tcW w:w="1092" w:type="dxa"/>
            <w:shd w:val="clear" w:color="auto" w:fill="auto"/>
          </w:tcPr>
          <w:p w:rsidR="00816C00" w:rsidRPr="008A359D" w:rsidRDefault="00816C00" w:rsidP="00581DB9">
            <w:pPr>
              <w:autoSpaceDE w:val="0"/>
              <w:autoSpaceDN w:val="0"/>
              <w:adjustRightInd w:val="0"/>
              <w:ind w:left="60" w:right="60"/>
              <w:jc w:val="right"/>
              <w:rPr>
                <w:sz w:val="20"/>
                <w:szCs w:val="20"/>
              </w:rPr>
            </w:pPr>
            <w:r w:rsidRPr="008A359D">
              <w:rPr>
                <w:sz w:val="20"/>
                <w:szCs w:val="20"/>
              </w:rPr>
              <w:t>55,4450</w:t>
            </w:r>
          </w:p>
        </w:tc>
        <w:tc>
          <w:tcPr>
            <w:tcW w:w="1445" w:type="dxa"/>
            <w:shd w:val="clear" w:color="auto" w:fill="auto"/>
          </w:tcPr>
          <w:p w:rsidR="00816C00" w:rsidRPr="008A359D" w:rsidRDefault="00816C00" w:rsidP="00581DB9">
            <w:pPr>
              <w:autoSpaceDE w:val="0"/>
              <w:autoSpaceDN w:val="0"/>
              <w:adjustRightInd w:val="0"/>
              <w:ind w:left="60" w:right="60"/>
              <w:jc w:val="right"/>
              <w:rPr>
                <w:sz w:val="20"/>
                <w:szCs w:val="20"/>
              </w:rPr>
            </w:pPr>
            <w:r w:rsidRPr="008A359D">
              <w:rPr>
                <w:sz w:val="20"/>
                <w:szCs w:val="20"/>
              </w:rPr>
              <w:t>,64347</w:t>
            </w:r>
          </w:p>
        </w:tc>
      </w:tr>
      <w:tr w:rsidR="00816C00" w:rsidRPr="008A359D" w:rsidTr="00581DB9">
        <w:trPr>
          <w:cantSplit/>
        </w:trPr>
        <w:tc>
          <w:tcPr>
            <w:tcW w:w="1706" w:type="dxa"/>
            <w:tcBorders>
              <w:bottom w:val="single" w:sz="4" w:space="0" w:color="auto"/>
            </w:tcBorders>
            <w:shd w:val="clear" w:color="auto" w:fill="auto"/>
          </w:tcPr>
          <w:p w:rsidR="00816C00" w:rsidRPr="008A359D" w:rsidRDefault="00816C00" w:rsidP="00581DB9">
            <w:pPr>
              <w:autoSpaceDE w:val="0"/>
              <w:autoSpaceDN w:val="0"/>
              <w:adjustRightInd w:val="0"/>
              <w:ind w:left="60" w:right="60"/>
              <w:rPr>
                <w:sz w:val="20"/>
                <w:szCs w:val="20"/>
              </w:rPr>
            </w:pPr>
            <w:r w:rsidRPr="008A359D">
              <w:rPr>
                <w:i/>
                <w:iCs/>
                <w:sz w:val="20"/>
                <w:szCs w:val="20"/>
              </w:rPr>
              <w:t>FDR</w:t>
            </w:r>
          </w:p>
        </w:tc>
        <w:tc>
          <w:tcPr>
            <w:tcW w:w="1029" w:type="dxa"/>
            <w:tcBorders>
              <w:bottom w:val="single" w:sz="4" w:space="0" w:color="auto"/>
            </w:tcBorders>
            <w:shd w:val="clear" w:color="auto" w:fill="auto"/>
          </w:tcPr>
          <w:p w:rsidR="00816C00" w:rsidRPr="008A359D" w:rsidRDefault="00816C00" w:rsidP="00581DB9">
            <w:pPr>
              <w:autoSpaceDE w:val="0"/>
              <w:autoSpaceDN w:val="0"/>
              <w:adjustRightInd w:val="0"/>
              <w:ind w:left="60" w:right="60"/>
              <w:jc w:val="right"/>
              <w:rPr>
                <w:sz w:val="20"/>
                <w:szCs w:val="20"/>
              </w:rPr>
            </w:pPr>
            <w:r w:rsidRPr="008A359D">
              <w:rPr>
                <w:sz w:val="20"/>
                <w:szCs w:val="20"/>
              </w:rPr>
              <w:t>2</w:t>
            </w:r>
          </w:p>
        </w:tc>
        <w:tc>
          <w:tcPr>
            <w:tcW w:w="1076" w:type="dxa"/>
            <w:tcBorders>
              <w:bottom w:val="single" w:sz="4" w:space="0" w:color="auto"/>
            </w:tcBorders>
            <w:shd w:val="clear" w:color="auto" w:fill="auto"/>
          </w:tcPr>
          <w:p w:rsidR="00816C00" w:rsidRPr="008A359D" w:rsidRDefault="00816C00" w:rsidP="00581DB9">
            <w:pPr>
              <w:autoSpaceDE w:val="0"/>
              <w:autoSpaceDN w:val="0"/>
              <w:adjustRightInd w:val="0"/>
              <w:ind w:left="60" w:right="60"/>
              <w:jc w:val="right"/>
              <w:rPr>
                <w:sz w:val="20"/>
                <w:szCs w:val="20"/>
              </w:rPr>
            </w:pPr>
            <w:r w:rsidRPr="008A359D">
              <w:rPr>
                <w:sz w:val="20"/>
                <w:szCs w:val="20"/>
              </w:rPr>
              <w:t>51,38</w:t>
            </w:r>
          </w:p>
        </w:tc>
        <w:tc>
          <w:tcPr>
            <w:tcW w:w="1107" w:type="dxa"/>
            <w:tcBorders>
              <w:bottom w:val="single" w:sz="4" w:space="0" w:color="auto"/>
            </w:tcBorders>
            <w:shd w:val="clear" w:color="auto" w:fill="auto"/>
          </w:tcPr>
          <w:p w:rsidR="00816C00" w:rsidRPr="008A359D" w:rsidRDefault="00816C00" w:rsidP="00581DB9">
            <w:pPr>
              <w:autoSpaceDE w:val="0"/>
              <w:autoSpaceDN w:val="0"/>
              <w:adjustRightInd w:val="0"/>
              <w:ind w:left="60" w:right="60"/>
              <w:jc w:val="right"/>
              <w:rPr>
                <w:sz w:val="20"/>
                <w:szCs w:val="20"/>
              </w:rPr>
            </w:pPr>
            <w:r w:rsidRPr="008A359D">
              <w:rPr>
                <w:sz w:val="20"/>
                <w:szCs w:val="20"/>
              </w:rPr>
              <w:t>52,57</w:t>
            </w:r>
          </w:p>
        </w:tc>
        <w:tc>
          <w:tcPr>
            <w:tcW w:w="1092" w:type="dxa"/>
            <w:tcBorders>
              <w:bottom w:val="single" w:sz="4" w:space="0" w:color="auto"/>
            </w:tcBorders>
            <w:shd w:val="clear" w:color="auto" w:fill="auto"/>
          </w:tcPr>
          <w:p w:rsidR="00816C00" w:rsidRPr="008A359D" w:rsidRDefault="00816C00" w:rsidP="00581DB9">
            <w:pPr>
              <w:autoSpaceDE w:val="0"/>
              <w:autoSpaceDN w:val="0"/>
              <w:adjustRightInd w:val="0"/>
              <w:ind w:left="60" w:right="60"/>
              <w:jc w:val="right"/>
              <w:rPr>
                <w:sz w:val="20"/>
                <w:szCs w:val="20"/>
              </w:rPr>
            </w:pPr>
            <w:r w:rsidRPr="008A359D">
              <w:rPr>
                <w:sz w:val="20"/>
                <w:szCs w:val="20"/>
              </w:rPr>
              <w:t>51,9750</w:t>
            </w:r>
          </w:p>
        </w:tc>
        <w:tc>
          <w:tcPr>
            <w:tcW w:w="1445" w:type="dxa"/>
            <w:tcBorders>
              <w:bottom w:val="single" w:sz="4" w:space="0" w:color="auto"/>
            </w:tcBorders>
            <w:shd w:val="clear" w:color="auto" w:fill="auto"/>
          </w:tcPr>
          <w:p w:rsidR="00816C00" w:rsidRPr="008A359D" w:rsidRDefault="00816C00" w:rsidP="00581DB9">
            <w:pPr>
              <w:autoSpaceDE w:val="0"/>
              <w:autoSpaceDN w:val="0"/>
              <w:adjustRightInd w:val="0"/>
              <w:ind w:left="60" w:right="60"/>
              <w:jc w:val="right"/>
              <w:rPr>
                <w:sz w:val="20"/>
                <w:szCs w:val="20"/>
              </w:rPr>
            </w:pPr>
            <w:r w:rsidRPr="008A359D">
              <w:rPr>
                <w:sz w:val="20"/>
                <w:szCs w:val="20"/>
              </w:rPr>
              <w:t>,84146</w:t>
            </w:r>
          </w:p>
        </w:tc>
      </w:tr>
      <w:tr w:rsidR="00816C00" w:rsidRPr="008A359D" w:rsidTr="00581DB9">
        <w:trPr>
          <w:cantSplit/>
        </w:trPr>
        <w:tc>
          <w:tcPr>
            <w:tcW w:w="1706" w:type="dxa"/>
            <w:tcBorders>
              <w:top w:val="single" w:sz="4" w:space="0" w:color="auto"/>
            </w:tcBorders>
            <w:shd w:val="clear" w:color="auto" w:fill="auto"/>
          </w:tcPr>
          <w:p w:rsidR="00816C00" w:rsidRPr="008A359D" w:rsidRDefault="00816C00" w:rsidP="00581DB9">
            <w:pPr>
              <w:autoSpaceDE w:val="0"/>
              <w:autoSpaceDN w:val="0"/>
              <w:adjustRightInd w:val="0"/>
              <w:ind w:left="60" w:right="60"/>
              <w:rPr>
                <w:sz w:val="20"/>
                <w:szCs w:val="20"/>
              </w:rPr>
            </w:pPr>
            <w:r w:rsidRPr="008A359D">
              <w:rPr>
                <w:sz w:val="20"/>
                <w:szCs w:val="20"/>
              </w:rPr>
              <w:t>Valid N (listwise)</w:t>
            </w:r>
          </w:p>
        </w:tc>
        <w:tc>
          <w:tcPr>
            <w:tcW w:w="1029" w:type="dxa"/>
            <w:tcBorders>
              <w:top w:val="single" w:sz="4" w:space="0" w:color="auto"/>
            </w:tcBorders>
            <w:shd w:val="clear" w:color="auto" w:fill="auto"/>
          </w:tcPr>
          <w:p w:rsidR="00816C00" w:rsidRPr="008A359D" w:rsidRDefault="00816C00" w:rsidP="00581DB9">
            <w:pPr>
              <w:autoSpaceDE w:val="0"/>
              <w:autoSpaceDN w:val="0"/>
              <w:adjustRightInd w:val="0"/>
              <w:ind w:left="60" w:right="60"/>
              <w:jc w:val="right"/>
              <w:rPr>
                <w:sz w:val="20"/>
                <w:szCs w:val="20"/>
              </w:rPr>
            </w:pPr>
            <w:r w:rsidRPr="008A359D">
              <w:rPr>
                <w:sz w:val="20"/>
                <w:szCs w:val="20"/>
              </w:rPr>
              <w:t>2</w:t>
            </w:r>
          </w:p>
        </w:tc>
        <w:tc>
          <w:tcPr>
            <w:tcW w:w="1076" w:type="dxa"/>
            <w:tcBorders>
              <w:top w:val="single" w:sz="4" w:space="0" w:color="auto"/>
            </w:tcBorders>
            <w:shd w:val="clear" w:color="auto" w:fill="auto"/>
            <w:vAlign w:val="center"/>
          </w:tcPr>
          <w:p w:rsidR="00816C00" w:rsidRPr="008A359D" w:rsidRDefault="00816C00" w:rsidP="00581DB9">
            <w:pPr>
              <w:autoSpaceDE w:val="0"/>
              <w:autoSpaceDN w:val="0"/>
              <w:adjustRightInd w:val="0"/>
              <w:rPr>
                <w:sz w:val="20"/>
                <w:szCs w:val="20"/>
              </w:rPr>
            </w:pPr>
          </w:p>
        </w:tc>
        <w:tc>
          <w:tcPr>
            <w:tcW w:w="1107" w:type="dxa"/>
            <w:tcBorders>
              <w:top w:val="single" w:sz="4" w:space="0" w:color="auto"/>
            </w:tcBorders>
            <w:shd w:val="clear" w:color="auto" w:fill="auto"/>
            <w:vAlign w:val="center"/>
          </w:tcPr>
          <w:p w:rsidR="00816C00" w:rsidRPr="008A359D" w:rsidRDefault="00816C00" w:rsidP="00581DB9">
            <w:pPr>
              <w:autoSpaceDE w:val="0"/>
              <w:autoSpaceDN w:val="0"/>
              <w:adjustRightInd w:val="0"/>
              <w:rPr>
                <w:sz w:val="20"/>
                <w:szCs w:val="20"/>
              </w:rPr>
            </w:pPr>
          </w:p>
        </w:tc>
        <w:tc>
          <w:tcPr>
            <w:tcW w:w="1092" w:type="dxa"/>
            <w:tcBorders>
              <w:top w:val="single" w:sz="4" w:space="0" w:color="auto"/>
            </w:tcBorders>
            <w:shd w:val="clear" w:color="auto" w:fill="auto"/>
            <w:vAlign w:val="center"/>
          </w:tcPr>
          <w:p w:rsidR="00816C00" w:rsidRPr="008A359D" w:rsidRDefault="00816C00" w:rsidP="00581DB9">
            <w:pPr>
              <w:autoSpaceDE w:val="0"/>
              <w:autoSpaceDN w:val="0"/>
              <w:adjustRightInd w:val="0"/>
              <w:rPr>
                <w:sz w:val="20"/>
                <w:szCs w:val="20"/>
              </w:rPr>
            </w:pPr>
          </w:p>
        </w:tc>
        <w:tc>
          <w:tcPr>
            <w:tcW w:w="1445" w:type="dxa"/>
            <w:tcBorders>
              <w:top w:val="single" w:sz="4" w:space="0" w:color="auto"/>
            </w:tcBorders>
            <w:shd w:val="clear" w:color="auto" w:fill="auto"/>
            <w:vAlign w:val="center"/>
          </w:tcPr>
          <w:p w:rsidR="00816C00" w:rsidRPr="008A359D" w:rsidRDefault="00816C00" w:rsidP="00581DB9">
            <w:pPr>
              <w:autoSpaceDE w:val="0"/>
              <w:autoSpaceDN w:val="0"/>
              <w:adjustRightInd w:val="0"/>
              <w:rPr>
                <w:sz w:val="20"/>
                <w:szCs w:val="20"/>
              </w:rPr>
            </w:pPr>
          </w:p>
        </w:tc>
      </w:tr>
    </w:tbl>
    <w:p w:rsidR="00816C00" w:rsidRPr="008A359D" w:rsidRDefault="00816C00" w:rsidP="00816C00">
      <w:pPr>
        <w:autoSpaceDE w:val="0"/>
        <w:autoSpaceDN w:val="0"/>
        <w:adjustRightInd w:val="0"/>
      </w:pPr>
    </w:p>
    <w:p w:rsidR="00816C00" w:rsidRPr="008A359D" w:rsidRDefault="00816C00" w:rsidP="00816C00">
      <w:pPr>
        <w:pStyle w:val="ListParagraph"/>
        <w:autoSpaceDE w:val="0"/>
        <w:autoSpaceDN w:val="0"/>
        <w:adjustRightInd w:val="0"/>
      </w:pPr>
    </w:p>
    <w:p w:rsidR="00816C00" w:rsidRPr="008A359D" w:rsidRDefault="00816C00" w:rsidP="00816C00">
      <w:pPr>
        <w:pStyle w:val="ListParagraph"/>
        <w:rPr>
          <w:sz w:val="20"/>
          <w:szCs w:val="20"/>
        </w:rPr>
      </w:pPr>
    </w:p>
    <w:p w:rsidR="00816C00" w:rsidRPr="008A359D" w:rsidRDefault="00816C00" w:rsidP="00816C00">
      <w:pPr>
        <w:pStyle w:val="ListParagraph"/>
        <w:rPr>
          <w:sz w:val="20"/>
          <w:szCs w:val="20"/>
        </w:rPr>
      </w:pPr>
    </w:p>
    <w:p w:rsidR="00816C00" w:rsidRPr="008A359D" w:rsidRDefault="00816C00" w:rsidP="00816C00">
      <w:pPr>
        <w:pStyle w:val="ListParagraph"/>
        <w:rPr>
          <w:sz w:val="20"/>
          <w:szCs w:val="20"/>
        </w:rPr>
      </w:pPr>
    </w:p>
    <w:p w:rsidR="00816C00" w:rsidRPr="008A359D" w:rsidRDefault="00816C00" w:rsidP="00816C00">
      <w:pPr>
        <w:pStyle w:val="ListParagraph"/>
        <w:rPr>
          <w:sz w:val="20"/>
          <w:szCs w:val="20"/>
        </w:rPr>
      </w:pPr>
    </w:p>
    <w:p w:rsidR="00816C00" w:rsidRPr="008A359D" w:rsidRDefault="00816C00" w:rsidP="00816C00">
      <w:pPr>
        <w:pStyle w:val="ListParagraph"/>
        <w:rPr>
          <w:sz w:val="20"/>
          <w:szCs w:val="20"/>
        </w:rPr>
      </w:pPr>
    </w:p>
    <w:p w:rsidR="00816C00" w:rsidRPr="008A359D" w:rsidRDefault="00816C00" w:rsidP="00816C00">
      <w:pPr>
        <w:pStyle w:val="ListParagraph"/>
        <w:rPr>
          <w:sz w:val="20"/>
          <w:szCs w:val="20"/>
        </w:rPr>
      </w:pPr>
    </w:p>
    <w:p w:rsidR="00816C00" w:rsidRPr="008A359D" w:rsidRDefault="00816C00" w:rsidP="00816C00">
      <w:pPr>
        <w:jc w:val="both"/>
        <w:rPr>
          <w:sz w:val="20"/>
          <w:szCs w:val="20"/>
        </w:rPr>
      </w:pPr>
    </w:p>
    <w:p w:rsidR="00816C00" w:rsidRPr="008A359D" w:rsidRDefault="00816C00" w:rsidP="00816C00">
      <w:pPr>
        <w:pStyle w:val="ListParagraph"/>
        <w:ind w:left="0" w:firstLine="284"/>
        <w:jc w:val="both"/>
        <w:rPr>
          <w:sz w:val="20"/>
          <w:szCs w:val="20"/>
        </w:rPr>
      </w:pPr>
      <w:r w:rsidRPr="008A359D">
        <w:rPr>
          <w:sz w:val="20"/>
          <w:szCs w:val="20"/>
        </w:rPr>
        <w:t xml:space="preserve">Tabel diatas menjelaskan informasi terkait nilai minimun, maximum, mean dan standar deviasi dari rasio </w:t>
      </w:r>
      <w:r w:rsidRPr="008A359D">
        <w:rPr>
          <w:i/>
          <w:iCs/>
          <w:sz w:val="20"/>
          <w:szCs w:val="20"/>
        </w:rPr>
        <w:t>CAR</w:t>
      </w:r>
      <w:r w:rsidRPr="008A359D">
        <w:rPr>
          <w:sz w:val="20"/>
          <w:szCs w:val="20"/>
        </w:rPr>
        <w:t xml:space="preserve">, </w:t>
      </w:r>
      <w:r w:rsidRPr="008A359D">
        <w:rPr>
          <w:i/>
          <w:iCs/>
          <w:sz w:val="20"/>
          <w:szCs w:val="20"/>
        </w:rPr>
        <w:t>ROA</w:t>
      </w:r>
      <w:r w:rsidRPr="008A359D">
        <w:rPr>
          <w:sz w:val="20"/>
          <w:szCs w:val="20"/>
        </w:rPr>
        <w:t xml:space="preserve">, </w:t>
      </w:r>
      <w:r w:rsidRPr="008A359D">
        <w:rPr>
          <w:i/>
          <w:iCs/>
          <w:sz w:val="20"/>
          <w:szCs w:val="20"/>
        </w:rPr>
        <w:t>NPM</w:t>
      </w:r>
      <w:r w:rsidRPr="008A359D">
        <w:rPr>
          <w:sz w:val="20"/>
          <w:szCs w:val="20"/>
        </w:rPr>
        <w:t xml:space="preserve">, </w:t>
      </w:r>
      <w:r w:rsidRPr="008A359D">
        <w:rPr>
          <w:i/>
          <w:iCs/>
          <w:sz w:val="20"/>
          <w:szCs w:val="20"/>
        </w:rPr>
        <w:t>BOPO</w:t>
      </w:r>
      <w:r w:rsidRPr="008A359D">
        <w:rPr>
          <w:sz w:val="20"/>
          <w:szCs w:val="20"/>
        </w:rPr>
        <w:t xml:space="preserve">, dan </w:t>
      </w:r>
      <w:r w:rsidRPr="008A359D">
        <w:rPr>
          <w:i/>
          <w:iCs/>
          <w:sz w:val="20"/>
          <w:szCs w:val="20"/>
        </w:rPr>
        <w:t>FDR</w:t>
      </w:r>
      <w:r w:rsidRPr="008A359D">
        <w:rPr>
          <w:sz w:val="20"/>
          <w:szCs w:val="20"/>
        </w:rPr>
        <w:t xml:space="preserve"> pada BSI sebelum dan ketika serangan </w:t>
      </w:r>
      <w:r w:rsidRPr="008A359D">
        <w:rPr>
          <w:i/>
          <w:iCs/>
          <w:sz w:val="20"/>
          <w:szCs w:val="20"/>
        </w:rPr>
        <w:t>cyber</w:t>
      </w:r>
      <w:r w:rsidRPr="008A359D">
        <w:rPr>
          <w:sz w:val="20"/>
          <w:szCs w:val="20"/>
        </w:rPr>
        <w:t xml:space="preserve">. Dari tabel 5. menunjukkan jumlah sampel yang digunakan yaitu 2. Variabel </w:t>
      </w:r>
      <w:r w:rsidRPr="008A359D">
        <w:rPr>
          <w:i/>
          <w:iCs/>
          <w:sz w:val="20"/>
          <w:szCs w:val="20"/>
        </w:rPr>
        <w:t>CAR</w:t>
      </w:r>
      <w:r w:rsidRPr="008A359D">
        <w:rPr>
          <w:sz w:val="20"/>
          <w:szCs w:val="20"/>
        </w:rPr>
        <w:t xml:space="preserve"> memiliki nilai minimum 15,80 dimana nilai tersebut ada pada bulan April 2023 atau sebelum adanya serangan </w:t>
      </w:r>
      <w:r w:rsidRPr="008A359D">
        <w:rPr>
          <w:i/>
          <w:iCs/>
          <w:sz w:val="20"/>
          <w:szCs w:val="20"/>
        </w:rPr>
        <w:t>cyber</w:t>
      </w:r>
      <w:r w:rsidRPr="008A359D">
        <w:rPr>
          <w:sz w:val="20"/>
          <w:szCs w:val="20"/>
        </w:rPr>
        <w:t xml:space="preserve">. Nilai maksimum sebesar 16,15 dimana nilai tersebut ada pada bulan Mei 2023 atau setelah adanya serangan </w:t>
      </w:r>
      <w:r w:rsidRPr="008A359D">
        <w:rPr>
          <w:i/>
          <w:iCs/>
          <w:sz w:val="20"/>
          <w:szCs w:val="20"/>
        </w:rPr>
        <w:t>cyber</w:t>
      </w:r>
      <w:r w:rsidRPr="008A359D">
        <w:rPr>
          <w:sz w:val="20"/>
          <w:szCs w:val="20"/>
        </w:rPr>
        <w:t xml:space="preserve">. Sementara itu, rata-rata yang dimiliki sebesar 15,9750 dan standar deviasi sebesar 0,24749. </w:t>
      </w:r>
    </w:p>
    <w:p w:rsidR="00816C00" w:rsidRPr="008A359D" w:rsidRDefault="00816C00" w:rsidP="00816C00">
      <w:pPr>
        <w:pStyle w:val="ListParagraph"/>
        <w:ind w:left="0" w:firstLine="284"/>
        <w:jc w:val="both"/>
        <w:rPr>
          <w:sz w:val="20"/>
          <w:szCs w:val="20"/>
        </w:rPr>
      </w:pPr>
      <w:r w:rsidRPr="008A359D">
        <w:rPr>
          <w:sz w:val="20"/>
          <w:szCs w:val="20"/>
        </w:rPr>
        <w:t xml:space="preserve">Pada variabel </w:t>
      </w:r>
      <w:r w:rsidRPr="008A359D">
        <w:rPr>
          <w:i/>
          <w:iCs/>
          <w:sz w:val="20"/>
          <w:szCs w:val="20"/>
        </w:rPr>
        <w:t>ROA</w:t>
      </w:r>
      <w:r w:rsidRPr="008A359D">
        <w:rPr>
          <w:sz w:val="20"/>
          <w:szCs w:val="20"/>
        </w:rPr>
        <w:t xml:space="preserve"> memiliki nilai minimum 0,80 dimana nilai tersebut ada pada bulan April 2023 atau sebelum adanya serangan </w:t>
      </w:r>
      <w:r w:rsidRPr="008A359D">
        <w:rPr>
          <w:i/>
          <w:iCs/>
          <w:sz w:val="20"/>
          <w:szCs w:val="20"/>
        </w:rPr>
        <w:t>cyber</w:t>
      </w:r>
      <w:r w:rsidRPr="008A359D">
        <w:rPr>
          <w:sz w:val="20"/>
          <w:szCs w:val="20"/>
        </w:rPr>
        <w:t xml:space="preserve">. Nilai maksimum sebesar 0,97 dimana nilai tersebut ada pada bulan Mei 2023 atau setelah adanya serangan </w:t>
      </w:r>
      <w:r w:rsidRPr="008A359D">
        <w:rPr>
          <w:i/>
          <w:iCs/>
          <w:sz w:val="20"/>
          <w:szCs w:val="20"/>
        </w:rPr>
        <w:t>cyber</w:t>
      </w:r>
      <w:r w:rsidRPr="008A359D">
        <w:rPr>
          <w:sz w:val="20"/>
          <w:szCs w:val="20"/>
        </w:rPr>
        <w:t xml:space="preserve">. Sementara itu, rata-rata yang dimiliki sebesar 0,8850 dan standar deviasi sebesar 0,12021. </w:t>
      </w:r>
    </w:p>
    <w:p w:rsidR="00816C00" w:rsidRPr="008A359D" w:rsidRDefault="00816C00" w:rsidP="00816C00">
      <w:pPr>
        <w:pStyle w:val="ListParagraph"/>
        <w:ind w:left="0" w:firstLine="284"/>
        <w:jc w:val="both"/>
        <w:rPr>
          <w:sz w:val="20"/>
          <w:szCs w:val="20"/>
        </w:rPr>
      </w:pPr>
      <w:r w:rsidRPr="008A359D">
        <w:rPr>
          <w:sz w:val="20"/>
          <w:szCs w:val="20"/>
        </w:rPr>
        <w:t xml:space="preserve">Pada variabel </w:t>
      </w:r>
      <w:r w:rsidRPr="008A359D">
        <w:rPr>
          <w:i/>
          <w:iCs/>
          <w:sz w:val="20"/>
          <w:szCs w:val="20"/>
        </w:rPr>
        <w:t>NPM</w:t>
      </w:r>
      <w:r w:rsidRPr="008A359D">
        <w:rPr>
          <w:sz w:val="20"/>
          <w:szCs w:val="20"/>
        </w:rPr>
        <w:t xml:space="preserve"> memiliki nilai minimum 99,00 dimana nilai tersebut ada pada bulan Mei 2023 atau setelah adanya serangan </w:t>
      </w:r>
      <w:r w:rsidRPr="008A359D">
        <w:rPr>
          <w:i/>
          <w:iCs/>
          <w:sz w:val="20"/>
          <w:szCs w:val="20"/>
        </w:rPr>
        <w:t>cyber</w:t>
      </w:r>
      <w:r w:rsidRPr="008A359D">
        <w:rPr>
          <w:sz w:val="20"/>
          <w:szCs w:val="20"/>
        </w:rPr>
        <w:t xml:space="preserve">. Nilai maksimum sebesar 101,91 dimana nilai tersebut ada pada bulan April 2023 atau sebelum adanya serangan </w:t>
      </w:r>
      <w:r w:rsidRPr="008A359D">
        <w:rPr>
          <w:i/>
          <w:iCs/>
          <w:sz w:val="20"/>
          <w:szCs w:val="20"/>
        </w:rPr>
        <w:t>cyber</w:t>
      </w:r>
      <w:r w:rsidRPr="008A359D">
        <w:rPr>
          <w:sz w:val="20"/>
          <w:szCs w:val="20"/>
        </w:rPr>
        <w:t xml:space="preserve">. Sementara itu, rata-rata yang dimiliki sebesar 100,4550 dan standar deviasi sebesar 2,05768. </w:t>
      </w:r>
    </w:p>
    <w:p w:rsidR="00816C00" w:rsidRPr="008A359D" w:rsidRDefault="00816C00" w:rsidP="00816C00">
      <w:pPr>
        <w:pStyle w:val="ListParagraph"/>
        <w:ind w:left="0" w:firstLine="284"/>
        <w:jc w:val="both"/>
        <w:rPr>
          <w:sz w:val="20"/>
          <w:szCs w:val="20"/>
        </w:rPr>
      </w:pPr>
      <w:r w:rsidRPr="008A359D">
        <w:rPr>
          <w:sz w:val="20"/>
          <w:szCs w:val="20"/>
        </w:rPr>
        <w:t xml:space="preserve">Pada variabel </w:t>
      </w:r>
      <w:r w:rsidRPr="008A359D">
        <w:rPr>
          <w:i/>
          <w:iCs/>
          <w:sz w:val="20"/>
          <w:szCs w:val="20"/>
        </w:rPr>
        <w:t>BOPO</w:t>
      </w:r>
      <w:r w:rsidRPr="008A359D">
        <w:rPr>
          <w:sz w:val="20"/>
          <w:szCs w:val="20"/>
        </w:rPr>
        <w:t xml:space="preserve"> memiliki nilai minimum 54,99 dimana nilai tersebut ada pada bulan April 2023 atau sebelum adanya serangan </w:t>
      </w:r>
      <w:r w:rsidRPr="008A359D">
        <w:rPr>
          <w:i/>
          <w:iCs/>
          <w:sz w:val="20"/>
          <w:szCs w:val="20"/>
        </w:rPr>
        <w:t>cyber</w:t>
      </w:r>
      <w:r w:rsidRPr="008A359D">
        <w:rPr>
          <w:sz w:val="20"/>
          <w:szCs w:val="20"/>
        </w:rPr>
        <w:t xml:space="preserve">. Nilai maksimum sebesar 55,90 dimana nilai tersebut ada pada bulan Mei 2023 atau setelah adanya serangan </w:t>
      </w:r>
      <w:r w:rsidRPr="008A359D">
        <w:rPr>
          <w:i/>
          <w:iCs/>
          <w:sz w:val="20"/>
          <w:szCs w:val="20"/>
        </w:rPr>
        <w:t>cyber</w:t>
      </w:r>
      <w:r w:rsidRPr="008A359D">
        <w:rPr>
          <w:sz w:val="20"/>
          <w:szCs w:val="20"/>
        </w:rPr>
        <w:t xml:space="preserve">. Sementara itu, rata-rata yang dimiliki sebesar 55,4450 dan standar deviasi sebesar 0,64347. </w:t>
      </w:r>
    </w:p>
    <w:p w:rsidR="00816C00" w:rsidRPr="008A359D" w:rsidRDefault="00816C00" w:rsidP="00816C00">
      <w:pPr>
        <w:ind w:firstLine="284"/>
        <w:jc w:val="both"/>
        <w:rPr>
          <w:sz w:val="20"/>
          <w:szCs w:val="20"/>
        </w:rPr>
      </w:pPr>
      <w:r w:rsidRPr="008A359D">
        <w:rPr>
          <w:sz w:val="20"/>
          <w:szCs w:val="20"/>
        </w:rPr>
        <w:t xml:space="preserve">Pada variabel </w:t>
      </w:r>
      <w:r w:rsidRPr="008A359D">
        <w:rPr>
          <w:i/>
          <w:iCs/>
          <w:sz w:val="20"/>
          <w:szCs w:val="20"/>
        </w:rPr>
        <w:t>FDR</w:t>
      </w:r>
      <w:r w:rsidRPr="008A359D">
        <w:rPr>
          <w:sz w:val="20"/>
          <w:szCs w:val="20"/>
        </w:rPr>
        <w:t xml:space="preserve"> memiliki nilai minimum 51,38 dimana nilai tersebut ada pada bulan April 2023 atau sebelum adanya serangan </w:t>
      </w:r>
      <w:r w:rsidRPr="008A359D">
        <w:rPr>
          <w:i/>
          <w:iCs/>
          <w:sz w:val="20"/>
          <w:szCs w:val="20"/>
        </w:rPr>
        <w:t>cyber</w:t>
      </w:r>
      <w:r w:rsidRPr="008A359D">
        <w:rPr>
          <w:sz w:val="20"/>
          <w:szCs w:val="20"/>
        </w:rPr>
        <w:t xml:space="preserve">. Nilai maksimum sebesar 52,57 dimana nilai tersebut ada pada bulan Mei 2023 atau setelah adanya serangan </w:t>
      </w:r>
      <w:r w:rsidRPr="008A359D">
        <w:rPr>
          <w:i/>
          <w:iCs/>
          <w:sz w:val="20"/>
          <w:szCs w:val="20"/>
        </w:rPr>
        <w:t>cyber</w:t>
      </w:r>
      <w:r w:rsidRPr="008A359D">
        <w:rPr>
          <w:sz w:val="20"/>
          <w:szCs w:val="20"/>
        </w:rPr>
        <w:t>. Sementara itu, rata-rata yang dimiliki sebesar 51,9750 dan standar deviasi sebesar 0,84146.</w:t>
      </w:r>
    </w:p>
    <w:p w:rsidR="00816C00" w:rsidRPr="008A359D" w:rsidRDefault="00816C00" w:rsidP="00816C00">
      <w:pPr>
        <w:pBdr>
          <w:top w:val="nil"/>
          <w:left w:val="nil"/>
          <w:bottom w:val="nil"/>
          <w:right w:val="nil"/>
          <w:between w:val="nil"/>
        </w:pBdr>
        <w:ind w:firstLine="288"/>
        <w:jc w:val="both"/>
        <w:rPr>
          <w:sz w:val="20"/>
          <w:szCs w:val="20"/>
        </w:rPr>
      </w:pPr>
    </w:p>
    <w:p w:rsidR="00816C00" w:rsidRPr="008A359D" w:rsidRDefault="00816C00" w:rsidP="00816C00">
      <w:pPr>
        <w:numPr>
          <w:ilvl w:val="0"/>
          <w:numId w:val="2"/>
        </w:numPr>
        <w:pBdr>
          <w:top w:val="nil"/>
          <w:left w:val="nil"/>
          <w:bottom w:val="nil"/>
          <w:right w:val="nil"/>
          <w:between w:val="nil"/>
        </w:pBdr>
        <w:ind w:left="426"/>
        <w:rPr>
          <w:b/>
          <w:sz w:val="20"/>
          <w:szCs w:val="20"/>
        </w:rPr>
      </w:pPr>
      <w:r w:rsidRPr="008A359D">
        <w:rPr>
          <w:b/>
          <w:sz w:val="20"/>
          <w:szCs w:val="20"/>
        </w:rPr>
        <w:t>Penilaian Tingkat Kesehatan Bank Syariah Indonesia Sebelum dan Ketika Serangan Cyber Menggunakan Metode CAMEL</w:t>
      </w:r>
    </w:p>
    <w:p w:rsidR="00816C00" w:rsidRPr="008A359D" w:rsidRDefault="00816C00" w:rsidP="00816C00">
      <w:pPr>
        <w:pStyle w:val="ListParagraph"/>
        <w:ind w:hanging="720"/>
        <w:jc w:val="center"/>
        <w:rPr>
          <w:sz w:val="20"/>
          <w:szCs w:val="20"/>
        </w:rPr>
      </w:pPr>
      <w:r w:rsidRPr="008A359D">
        <w:rPr>
          <w:sz w:val="20"/>
          <w:szCs w:val="20"/>
        </w:rPr>
        <w:t xml:space="preserve">Tabel 7. Penilaian Tingkat Kesehatan BSI Sebelum dan Ketika Serangan </w:t>
      </w:r>
      <w:r w:rsidRPr="008A359D">
        <w:rPr>
          <w:i/>
          <w:iCs/>
          <w:sz w:val="20"/>
          <w:szCs w:val="20"/>
        </w:rPr>
        <w:t>Cyber</w:t>
      </w:r>
    </w:p>
    <w:tbl>
      <w:tblPr>
        <w:tblStyle w:val="TableGrid"/>
        <w:tblW w:w="5284" w:type="dxa"/>
        <w:tblInd w:w="1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9"/>
        <w:gridCol w:w="994"/>
        <w:gridCol w:w="850"/>
        <w:gridCol w:w="1315"/>
        <w:gridCol w:w="1276"/>
      </w:tblGrid>
      <w:tr w:rsidR="00816C00" w:rsidRPr="008A359D" w:rsidTr="00581DB9">
        <w:tc>
          <w:tcPr>
            <w:tcW w:w="849" w:type="dxa"/>
            <w:tcBorders>
              <w:top w:val="single" w:sz="4" w:space="0" w:color="auto"/>
              <w:bottom w:val="single" w:sz="4" w:space="0" w:color="auto"/>
            </w:tcBorders>
          </w:tcPr>
          <w:p w:rsidR="00816C00" w:rsidRPr="008A359D" w:rsidRDefault="00816C00" w:rsidP="00581DB9">
            <w:pPr>
              <w:pStyle w:val="ListParagraph"/>
              <w:ind w:left="0"/>
              <w:jc w:val="center"/>
              <w:rPr>
                <w:sz w:val="20"/>
                <w:szCs w:val="20"/>
              </w:rPr>
            </w:pPr>
            <w:proofErr w:type="spellStart"/>
            <w:r w:rsidRPr="008A359D">
              <w:rPr>
                <w:sz w:val="20"/>
                <w:szCs w:val="20"/>
              </w:rPr>
              <w:t>Rasio</w:t>
            </w:r>
            <w:proofErr w:type="spellEnd"/>
          </w:p>
        </w:tc>
        <w:tc>
          <w:tcPr>
            <w:tcW w:w="1844" w:type="dxa"/>
            <w:gridSpan w:val="2"/>
            <w:tcBorders>
              <w:top w:val="single" w:sz="4" w:space="0" w:color="auto"/>
              <w:bottom w:val="single" w:sz="4" w:space="0" w:color="auto"/>
            </w:tcBorders>
          </w:tcPr>
          <w:p w:rsidR="00816C00" w:rsidRPr="008A359D" w:rsidRDefault="00816C00" w:rsidP="00581DB9">
            <w:pPr>
              <w:pStyle w:val="ListParagraph"/>
              <w:ind w:left="0"/>
              <w:jc w:val="center"/>
              <w:rPr>
                <w:sz w:val="20"/>
                <w:szCs w:val="20"/>
              </w:rPr>
            </w:pPr>
            <w:r w:rsidRPr="008A359D">
              <w:rPr>
                <w:sz w:val="20"/>
                <w:szCs w:val="20"/>
              </w:rPr>
              <w:t>Hasil (%)</w:t>
            </w:r>
          </w:p>
        </w:tc>
        <w:tc>
          <w:tcPr>
            <w:tcW w:w="1315" w:type="dxa"/>
            <w:tcBorders>
              <w:top w:val="single" w:sz="4" w:space="0" w:color="auto"/>
              <w:bottom w:val="single" w:sz="4" w:space="0" w:color="auto"/>
            </w:tcBorders>
          </w:tcPr>
          <w:p w:rsidR="00816C00" w:rsidRPr="008A359D" w:rsidRDefault="00816C00" w:rsidP="00581DB9">
            <w:pPr>
              <w:pStyle w:val="ListParagraph"/>
              <w:ind w:left="0"/>
              <w:jc w:val="center"/>
              <w:rPr>
                <w:sz w:val="20"/>
                <w:szCs w:val="20"/>
              </w:rPr>
            </w:pPr>
            <w:proofErr w:type="spellStart"/>
            <w:r w:rsidRPr="008A359D">
              <w:rPr>
                <w:sz w:val="20"/>
                <w:szCs w:val="20"/>
              </w:rPr>
              <w:t>Selisih</w:t>
            </w:r>
            <w:proofErr w:type="spellEnd"/>
            <w:r w:rsidRPr="008A359D">
              <w:rPr>
                <w:sz w:val="20"/>
                <w:szCs w:val="20"/>
              </w:rPr>
              <w:t xml:space="preserve"> (%)</w:t>
            </w:r>
          </w:p>
        </w:tc>
        <w:tc>
          <w:tcPr>
            <w:tcW w:w="1276" w:type="dxa"/>
            <w:tcBorders>
              <w:top w:val="single" w:sz="4" w:space="0" w:color="auto"/>
              <w:bottom w:val="single" w:sz="4" w:space="0" w:color="auto"/>
            </w:tcBorders>
          </w:tcPr>
          <w:p w:rsidR="00816C00" w:rsidRPr="008A359D" w:rsidRDefault="00816C00" w:rsidP="00581DB9">
            <w:pPr>
              <w:pStyle w:val="ListParagraph"/>
              <w:ind w:left="0"/>
              <w:jc w:val="center"/>
              <w:rPr>
                <w:sz w:val="20"/>
                <w:szCs w:val="20"/>
              </w:rPr>
            </w:pPr>
            <w:proofErr w:type="spellStart"/>
            <w:r w:rsidRPr="008A359D">
              <w:rPr>
                <w:sz w:val="20"/>
                <w:szCs w:val="20"/>
              </w:rPr>
              <w:t>Predikat</w:t>
            </w:r>
            <w:proofErr w:type="spellEnd"/>
          </w:p>
        </w:tc>
      </w:tr>
      <w:tr w:rsidR="00816C00" w:rsidRPr="008A359D" w:rsidTr="00581DB9">
        <w:tc>
          <w:tcPr>
            <w:tcW w:w="849" w:type="dxa"/>
            <w:vMerge w:val="restart"/>
            <w:tcBorders>
              <w:top w:val="single" w:sz="4" w:space="0" w:color="auto"/>
            </w:tcBorders>
          </w:tcPr>
          <w:p w:rsidR="00816C00" w:rsidRPr="008A359D" w:rsidRDefault="00816C00" w:rsidP="00581DB9">
            <w:pPr>
              <w:pStyle w:val="ListParagraph"/>
              <w:ind w:left="0"/>
              <w:jc w:val="center"/>
              <w:rPr>
                <w:sz w:val="20"/>
                <w:szCs w:val="20"/>
              </w:rPr>
            </w:pPr>
            <w:r w:rsidRPr="008A359D">
              <w:rPr>
                <w:i/>
                <w:iCs/>
                <w:sz w:val="20"/>
                <w:szCs w:val="20"/>
              </w:rPr>
              <w:t>CAR</w:t>
            </w:r>
          </w:p>
        </w:tc>
        <w:tc>
          <w:tcPr>
            <w:tcW w:w="994" w:type="dxa"/>
            <w:tcBorders>
              <w:top w:val="single" w:sz="4" w:space="0" w:color="auto"/>
            </w:tcBorders>
          </w:tcPr>
          <w:p w:rsidR="00816C00" w:rsidRPr="008A359D" w:rsidRDefault="00816C00" w:rsidP="00581DB9">
            <w:pPr>
              <w:pStyle w:val="ListParagraph"/>
              <w:ind w:left="0"/>
              <w:rPr>
                <w:sz w:val="20"/>
                <w:szCs w:val="20"/>
              </w:rPr>
            </w:pPr>
            <w:r w:rsidRPr="008A359D">
              <w:rPr>
                <w:sz w:val="20"/>
                <w:szCs w:val="20"/>
              </w:rPr>
              <w:t>Apr ‘23</w:t>
            </w:r>
          </w:p>
        </w:tc>
        <w:tc>
          <w:tcPr>
            <w:tcW w:w="850" w:type="dxa"/>
            <w:tcBorders>
              <w:top w:val="single" w:sz="4" w:space="0" w:color="auto"/>
            </w:tcBorders>
          </w:tcPr>
          <w:p w:rsidR="00816C00" w:rsidRPr="008A359D" w:rsidRDefault="00816C00" w:rsidP="00581DB9">
            <w:pPr>
              <w:pStyle w:val="ListParagraph"/>
              <w:ind w:left="0"/>
              <w:jc w:val="right"/>
              <w:rPr>
                <w:sz w:val="20"/>
                <w:szCs w:val="20"/>
              </w:rPr>
            </w:pPr>
            <w:r w:rsidRPr="008A359D">
              <w:rPr>
                <w:sz w:val="20"/>
                <w:szCs w:val="20"/>
              </w:rPr>
              <w:t>15,80</w:t>
            </w:r>
          </w:p>
        </w:tc>
        <w:tc>
          <w:tcPr>
            <w:tcW w:w="1315" w:type="dxa"/>
            <w:vMerge w:val="restart"/>
            <w:tcBorders>
              <w:top w:val="single" w:sz="4" w:space="0" w:color="auto"/>
            </w:tcBorders>
          </w:tcPr>
          <w:p w:rsidR="00816C00" w:rsidRPr="008A359D" w:rsidRDefault="00816C00" w:rsidP="00581DB9">
            <w:pPr>
              <w:pStyle w:val="ListParagraph"/>
              <w:ind w:left="0"/>
              <w:jc w:val="center"/>
              <w:rPr>
                <w:sz w:val="10"/>
                <w:szCs w:val="10"/>
              </w:rPr>
            </w:pPr>
          </w:p>
          <w:p w:rsidR="00816C00" w:rsidRPr="008A359D" w:rsidRDefault="00816C00" w:rsidP="00581DB9">
            <w:pPr>
              <w:pStyle w:val="ListParagraph"/>
              <w:ind w:left="0"/>
              <w:jc w:val="center"/>
              <w:rPr>
                <w:sz w:val="20"/>
                <w:szCs w:val="20"/>
              </w:rPr>
            </w:pPr>
            <w:r w:rsidRPr="008A359D">
              <w:rPr>
                <w:sz w:val="20"/>
                <w:szCs w:val="20"/>
              </w:rPr>
              <w:t>+ 0,35</w:t>
            </w:r>
          </w:p>
        </w:tc>
        <w:tc>
          <w:tcPr>
            <w:tcW w:w="1276" w:type="dxa"/>
            <w:tcBorders>
              <w:top w:val="single" w:sz="4" w:space="0" w:color="auto"/>
            </w:tcBorders>
          </w:tcPr>
          <w:p w:rsidR="00816C00" w:rsidRPr="008A359D" w:rsidRDefault="00816C00" w:rsidP="00581DB9">
            <w:pPr>
              <w:pStyle w:val="ListParagraph"/>
              <w:ind w:left="0"/>
              <w:jc w:val="center"/>
              <w:rPr>
                <w:sz w:val="20"/>
                <w:szCs w:val="20"/>
              </w:rPr>
            </w:pPr>
            <w:r w:rsidRPr="008A359D">
              <w:rPr>
                <w:sz w:val="20"/>
                <w:szCs w:val="20"/>
              </w:rPr>
              <w:t>Sangat Sehat</w:t>
            </w:r>
          </w:p>
        </w:tc>
      </w:tr>
      <w:tr w:rsidR="00816C00" w:rsidRPr="008A359D" w:rsidTr="005C03F6">
        <w:tc>
          <w:tcPr>
            <w:tcW w:w="849" w:type="dxa"/>
            <w:vMerge/>
          </w:tcPr>
          <w:p w:rsidR="00816C00" w:rsidRPr="008A359D" w:rsidRDefault="00816C00" w:rsidP="00581DB9">
            <w:pPr>
              <w:pStyle w:val="ListParagraph"/>
              <w:ind w:left="0"/>
              <w:jc w:val="center"/>
              <w:rPr>
                <w:sz w:val="20"/>
                <w:szCs w:val="20"/>
              </w:rPr>
            </w:pPr>
          </w:p>
        </w:tc>
        <w:tc>
          <w:tcPr>
            <w:tcW w:w="994" w:type="dxa"/>
          </w:tcPr>
          <w:p w:rsidR="00816C00" w:rsidRPr="008A359D" w:rsidRDefault="00816C00" w:rsidP="00581DB9">
            <w:pPr>
              <w:pStyle w:val="ListParagraph"/>
              <w:ind w:left="0"/>
              <w:rPr>
                <w:sz w:val="20"/>
                <w:szCs w:val="20"/>
              </w:rPr>
            </w:pPr>
            <w:r w:rsidRPr="008A359D">
              <w:rPr>
                <w:sz w:val="20"/>
                <w:szCs w:val="20"/>
              </w:rPr>
              <w:t>Mei ‘23</w:t>
            </w:r>
          </w:p>
        </w:tc>
        <w:tc>
          <w:tcPr>
            <w:tcW w:w="850" w:type="dxa"/>
          </w:tcPr>
          <w:p w:rsidR="00816C00" w:rsidRPr="008A359D" w:rsidRDefault="00816C00" w:rsidP="00581DB9">
            <w:pPr>
              <w:pStyle w:val="ListParagraph"/>
              <w:ind w:left="0"/>
              <w:jc w:val="right"/>
              <w:rPr>
                <w:sz w:val="20"/>
                <w:szCs w:val="20"/>
              </w:rPr>
            </w:pPr>
            <w:r w:rsidRPr="008A359D">
              <w:rPr>
                <w:sz w:val="20"/>
                <w:szCs w:val="20"/>
              </w:rPr>
              <w:t>16,15</w:t>
            </w:r>
          </w:p>
        </w:tc>
        <w:tc>
          <w:tcPr>
            <w:tcW w:w="1315" w:type="dxa"/>
            <w:vMerge/>
          </w:tcPr>
          <w:p w:rsidR="00816C00" w:rsidRPr="008A359D" w:rsidRDefault="00816C00" w:rsidP="00581DB9">
            <w:pPr>
              <w:pStyle w:val="ListParagraph"/>
              <w:ind w:left="0"/>
              <w:jc w:val="center"/>
              <w:rPr>
                <w:sz w:val="20"/>
                <w:szCs w:val="20"/>
              </w:rPr>
            </w:pPr>
          </w:p>
        </w:tc>
        <w:tc>
          <w:tcPr>
            <w:tcW w:w="1276" w:type="dxa"/>
          </w:tcPr>
          <w:p w:rsidR="00816C00" w:rsidRPr="008A359D" w:rsidRDefault="00816C00" w:rsidP="00581DB9">
            <w:pPr>
              <w:pStyle w:val="ListParagraph"/>
              <w:ind w:left="0"/>
              <w:jc w:val="center"/>
              <w:rPr>
                <w:sz w:val="20"/>
                <w:szCs w:val="20"/>
              </w:rPr>
            </w:pPr>
            <w:r w:rsidRPr="008A359D">
              <w:rPr>
                <w:sz w:val="20"/>
                <w:szCs w:val="20"/>
              </w:rPr>
              <w:t>Sangat Sehat</w:t>
            </w:r>
          </w:p>
        </w:tc>
      </w:tr>
      <w:tr w:rsidR="00816C00" w:rsidRPr="008A359D" w:rsidTr="005C03F6">
        <w:tc>
          <w:tcPr>
            <w:tcW w:w="849" w:type="dxa"/>
            <w:vMerge w:val="restart"/>
          </w:tcPr>
          <w:p w:rsidR="00816C00" w:rsidRPr="008A359D" w:rsidRDefault="00816C00" w:rsidP="00581DB9">
            <w:pPr>
              <w:pStyle w:val="ListParagraph"/>
              <w:ind w:left="0"/>
              <w:jc w:val="center"/>
              <w:rPr>
                <w:sz w:val="20"/>
                <w:szCs w:val="20"/>
              </w:rPr>
            </w:pPr>
            <w:r w:rsidRPr="008A359D">
              <w:rPr>
                <w:i/>
                <w:iCs/>
                <w:sz w:val="20"/>
                <w:szCs w:val="20"/>
              </w:rPr>
              <w:t>ROA</w:t>
            </w:r>
          </w:p>
        </w:tc>
        <w:tc>
          <w:tcPr>
            <w:tcW w:w="994" w:type="dxa"/>
          </w:tcPr>
          <w:p w:rsidR="00816C00" w:rsidRPr="008A359D" w:rsidRDefault="00816C00" w:rsidP="00581DB9">
            <w:pPr>
              <w:pStyle w:val="ListParagraph"/>
              <w:ind w:left="0"/>
              <w:rPr>
                <w:sz w:val="20"/>
                <w:szCs w:val="20"/>
              </w:rPr>
            </w:pPr>
            <w:r w:rsidRPr="008A359D">
              <w:rPr>
                <w:sz w:val="20"/>
                <w:szCs w:val="20"/>
              </w:rPr>
              <w:t>Apr ‘23</w:t>
            </w:r>
          </w:p>
        </w:tc>
        <w:tc>
          <w:tcPr>
            <w:tcW w:w="850" w:type="dxa"/>
          </w:tcPr>
          <w:p w:rsidR="00816C00" w:rsidRPr="008A359D" w:rsidRDefault="00816C00" w:rsidP="00581DB9">
            <w:pPr>
              <w:pStyle w:val="ListParagraph"/>
              <w:ind w:left="0"/>
              <w:jc w:val="right"/>
              <w:rPr>
                <w:sz w:val="20"/>
                <w:szCs w:val="20"/>
              </w:rPr>
            </w:pPr>
            <w:r w:rsidRPr="008A359D">
              <w:rPr>
                <w:sz w:val="20"/>
                <w:szCs w:val="20"/>
              </w:rPr>
              <w:t>0,80</w:t>
            </w:r>
          </w:p>
        </w:tc>
        <w:tc>
          <w:tcPr>
            <w:tcW w:w="1315" w:type="dxa"/>
            <w:vMerge w:val="restart"/>
          </w:tcPr>
          <w:p w:rsidR="00816C00" w:rsidRPr="008A359D" w:rsidRDefault="00816C00" w:rsidP="00581DB9">
            <w:pPr>
              <w:pStyle w:val="ListParagraph"/>
              <w:ind w:left="0"/>
              <w:jc w:val="center"/>
              <w:rPr>
                <w:sz w:val="10"/>
                <w:szCs w:val="10"/>
              </w:rPr>
            </w:pPr>
          </w:p>
          <w:p w:rsidR="00816C00" w:rsidRPr="008A359D" w:rsidRDefault="00816C00" w:rsidP="00581DB9">
            <w:pPr>
              <w:pStyle w:val="ListParagraph"/>
              <w:ind w:left="0"/>
              <w:jc w:val="center"/>
              <w:rPr>
                <w:sz w:val="20"/>
                <w:szCs w:val="20"/>
              </w:rPr>
            </w:pPr>
            <w:r w:rsidRPr="008A359D">
              <w:rPr>
                <w:sz w:val="20"/>
                <w:szCs w:val="20"/>
              </w:rPr>
              <w:t>+ 0,17</w:t>
            </w:r>
          </w:p>
        </w:tc>
        <w:tc>
          <w:tcPr>
            <w:tcW w:w="1276" w:type="dxa"/>
          </w:tcPr>
          <w:p w:rsidR="00816C00" w:rsidRPr="008A359D" w:rsidRDefault="00816C00" w:rsidP="00581DB9">
            <w:pPr>
              <w:pStyle w:val="ListParagraph"/>
              <w:ind w:left="0"/>
              <w:jc w:val="center"/>
              <w:rPr>
                <w:sz w:val="20"/>
                <w:szCs w:val="20"/>
              </w:rPr>
            </w:pPr>
            <w:proofErr w:type="spellStart"/>
            <w:r w:rsidRPr="008A359D">
              <w:rPr>
                <w:sz w:val="20"/>
                <w:szCs w:val="20"/>
              </w:rPr>
              <w:t>Cukup</w:t>
            </w:r>
            <w:proofErr w:type="spellEnd"/>
            <w:r w:rsidRPr="008A359D">
              <w:rPr>
                <w:sz w:val="20"/>
                <w:szCs w:val="20"/>
              </w:rPr>
              <w:t xml:space="preserve"> Sehat</w:t>
            </w:r>
          </w:p>
        </w:tc>
      </w:tr>
      <w:tr w:rsidR="00816C00" w:rsidRPr="008A359D" w:rsidTr="005C03F6">
        <w:tc>
          <w:tcPr>
            <w:tcW w:w="849" w:type="dxa"/>
            <w:vMerge/>
          </w:tcPr>
          <w:p w:rsidR="00816C00" w:rsidRPr="008A359D" w:rsidRDefault="00816C00" w:rsidP="00581DB9">
            <w:pPr>
              <w:pStyle w:val="ListParagraph"/>
              <w:ind w:left="0"/>
              <w:jc w:val="center"/>
              <w:rPr>
                <w:sz w:val="20"/>
                <w:szCs w:val="20"/>
              </w:rPr>
            </w:pPr>
          </w:p>
        </w:tc>
        <w:tc>
          <w:tcPr>
            <w:tcW w:w="994" w:type="dxa"/>
          </w:tcPr>
          <w:p w:rsidR="00816C00" w:rsidRPr="008A359D" w:rsidRDefault="00816C00" w:rsidP="00581DB9">
            <w:pPr>
              <w:pStyle w:val="ListParagraph"/>
              <w:ind w:left="0"/>
              <w:rPr>
                <w:sz w:val="20"/>
                <w:szCs w:val="20"/>
              </w:rPr>
            </w:pPr>
            <w:r w:rsidRPr="008A359D">
              <w:rPr>
                <w:sz w:val="20"/>
                <w:szCs w:val="20"/>
              </w:rPr>
              <w:t>Mei ‘23</w:t>
            </w:r>
          </w:p>
        </w:tc>
        <w:tc>
          <w:tcPr>
            <w:tcW w:w="850" w:type="dxa"/>
          </w:tcPr>
          <w:p w:rsidR="00816C00" w:rsidRPr="008A359D" w:rsidRDefault="00816C00" w:rsidP="00581DB9">
            <w:pPr>
              <w:pStyle w:val="ListParagraph"/>
              <w:ind w:left="0"/>
              <w:jc w:val="right"/>
              <w:rPr>
                <w:sz w:val="20"/>
                <w:szCs w:val="20"/>
              </w:rPr>
            </w:pPr>
            <w:r w:rsidRPr="008A359D">
              <w:rPr>
                <w:sz w:val="20"/>
                <w:szCs w:val="20"/>
              </w:rPr>
              <w:t>0,97</w:t>
            </w:r>
          </w:p>
        </w:tc>
        <w:tc>
          <w:tcPr>
            <w:tcW w:w="1315" w:type="dxa"/>
            <w:vMerge/>
          </w:tcPr>
          <w:p w:rsidR="00816C00" w:rsidRPr="008A359D" w:rsidRDefault="00816C00" w:rsidP="00581DB9">
            <w:pPr>
              <w:pStyle w:val="ListParagraph"/>
              <w:ind w:left="0"/>
              <w:jc w:val="center"/>
              <w:rPr>
                <w:sz w:val="20"/>
                <w:szCs w:val="20"/>
              </w:rPr>
            </w:pPr>
          </w:p>
        </w:tc>
        <w:tc>
          <w:tcPr>
            <w:tcW w:w="1276" w:type="dxa"/>
          </w:tcPr>
          <w:p w:rsidR="00816C00" w:rsidRPr="008A359D" w:rsidRDefault="00816C00" w:rsidP="00581DB9">
            <w:pPr>
              <w:pStyle w:val="ListParagraph"/>
              <w:ind w:left="0"/>
              <w:jc w:val="center"/>
              <w:rPr>
                <w:sz w:val="20"/>
                <w:szCs w:val="20"/>
              </w:rPr>
            </w:pPr>
            <w:proofErr w:type="spellStart"/>
            <w:r w:rsidRPr="008A359D">
              <w:rPr>
                <w:sz w:val="20"/>
                <w:szCs w:val="20"/>
              </w:rPr>
              <w:t>Cukup</w:t>
            </w:r>
            <w:proofErr w:type="spellEnd"/>
            <w:r w:rsidRPr="008A359D">
              <w:rPr>
                <w:sz w:val="20"/>
                <w:szCs w:val="20"/>
              </w:rPr>
              <w:t xml:space="preserve"> Sehat</w:t>
            </w:r>
          </w:p>
        </w:tc>
      </w:tr>
      <w:tr w:rsidR="00816C00" w:rsidRPr="008A359D" w:rsidTr="005C03F6">
        <w:tc>
          <w:tcPr>
            <w:tcW w:w="849" w:type="dxa"/>
            <w:vMerge w:val="restart"/>
          </w:tcPr>
          <w:p w:rsidR="00816C00" w:rsidRPr="008A359D" w:rsidRDefault="00816C00" w:rsidP="00581DB9">
            <w:pPr>
              <w:pStyle w:val="ListParagraph"/>
              <w:ind w:left="0"/>
              <w:jc w:val="center"/>
              <w:rPr>
                <w:sz w:val="20"/>
                <w:szCs w:val="20"/>
              </w:rPr>
            </w:pPr>
            <w:r w:rsidRPr="008A359D">
              <w:rPr>
                <w:i/>
                <w:iCs/>
                <w:sz w:val="20"/>
                <w:szCs w:val="20"/>
              </w:rPr>
              <w:t>NPM</w:t>
            </w:r>
          </w:p>
        </w:tc>
        <w:tc>
          <w:tcPr>
            <w:tcW w:w="994" w:type="dxa"/>
          </w:tcPr>
          <w:p w:rsidR="00816C00" w:rsidRPr="008A359D" w:rsidRDefault="00816C00" w:rsidP="00581DB9">
            <w:pPr>
              <w:pStyle w:val="ListParagraph"/>
              <w:ind w:left="0"/>
              <w:rPr>
                <w:sz w:val="20"/>
                <w:szCs w:val="20"/>
              </w:rPr>
            </w:pPr>
            <w:r w:rsidRPr="008A359D">
              <w:rPr>
                <w:sz w:val="20"/>
                <w:szCs w:val="20"/>
              </w:rPr>
              <w:t>Apr ‘23</w:t>
            </w:r>
          </w:p>
        </w:tc>
        <w:tc>
          <w:tcPr>
            <w:tcW w:w="850" w:type="dxa"/>
          </w:tcPr>
          <w:p w:rsidR="00816C00" w:rsidRPr="008A359D" w:rsidRDefault="00816C00" w:rsidP="00581DB9">
            <w:pPr>
              <w:pStyle w:val="ListParagraph"/>
              <w:ind w:left="0"/>
              <w:jc w:val="right"/>
              <w:rPr>
                <w:sz w:val="20"/>
                <w:szCs w:val="20"/>
              </w:rPr>
            </w:pPr>
            <w:r w:rsidRPr="008A359D">
              <w:rPr>
                <w:sz w:val="20"/>
                <w:szCs w:val="20"/>
              </w:rPr>
              <w:t>101,91</w:t>
            </w:r>
          </w:p>
        </w:tc>
        <w:tc>
          <w:tcPr>
            <w:tcW w:w="1315" w:type="dxa"/>
            <w:vMerge w:val="restart"/>
          </w:tcPr>
          <w:p w:rsidR="00816C00" w:rsidRPr="008A359D" w:rsidRDefault="00816C00" w:rsidP="00581DB9">
            <w:pPr>
              <w:pStyle w:val="ListParagraph"/>
              <w:ind w:left="0"/>
              <w:jc w:val="center"/>
              <w:rPr>
                <w:sz w:val="10"/>
                <w:szCs w:val="10"/>
              </w:rPr>
            </w:pPr>
          </w:p>
          <w:p w:rsidR="00816C00" w:rsidRPr="008A359D" w:rsidRDefault="00816C00" w:rsidP="00581DB9">
            <w:pPr>
              <w:pStyle w:val="ListParagraph"/>
              <w:ind w:left="0"/>
              <w:jc w:val="center"/>
              <w:rPr>
                <w:sz w:val="20"/>
                <w:szCs w:val="20"/>
              </w:rPr>
            </w:pPr>
            <w:r w:rsidRPr="008A359D">
              <w:rPr>
                <w:sz w:val="20"/>
                <w:szCs w:val="20"/>
              </w:rPr>
              <w:t>- 2,91</w:t>
            </w:r>
          </w:p>
        </w:tc>
        <w:tc>
          <w:tcPr>
            <w:tcW w:w="1276" w:type="dxa"/>
          </w:tcPr>
          <w:p w:rsidR="00816C00" w:rsidRPr="008A359D" w:rsidRDefault="00816C00" w:rsidP="00581DB9">
            <w:pPr>
              <w:pStyle w:val="ListParagraph"/>
              <w:ind w:left="0"/>
              <w:jc w:val="center"/>
              <w:rPr>
                <w:sz w:val="20"/>
                <w:szCs w:val="20"/>
              </w:rPr>
            </w:pPr>
            <w:r w:rsidRPr="008A359D">
              <w:rPr>
                <w:sz w:val="20"/>
                <w:szCs w:val="20"/>
              </w:rPr>
              <w:t>Sangat Sehat</w:t>
            </w:r>
          </w:p>
        </w:tc>
      </w:tr>
      <w:tr w:rsidR="00816C00" w:rsidRPr="008A359D" w:rsidTr="005C03F6">
        <w:tc>
          <w:tcPr>
            <w:tcW w:w="849" w:type="dxa"/>
            <w:vMerge/>
          </w:tcPr>
          <w:p w:rsidR="00816C00" w:rsidRPr="008A359D" w:rsidRDefault="00816C00" w:rsidP="00581DB9">
            <w:pPr>
              <w:pStyle w:val="ListParagraph"/>
              <w:ind w:left="0"/>
              <w:jc w:val="center"/>
              <w:rPr>
                <w:sz w:val="20"/>
                <w:szCs w:val="20"/>
              </w:rPr>
            </w:pPr>
          </w:p>
        </w:tc>
        <w:tc>
          <w:tcPr>
            <w:tcW w:w="994" w:type="dxa"/>
          </w:tcPr>
          <w:p w:rsidR="00816C00" w:rsidRPr="008A359D" w:rsidRDefault="00816C00" w:rsidP="00581DB9">
            <w:pPr>
              <w:pStyle w:val="ListParagraph"/>
              <w:ind w:left="0"/>
              <w:rPr>
                <w:sz w:val="20"/>
                <w:szCs w:val="20"/>
              </w:rPr>
            </w:pPr>
            <w:r w:rsidRPr="008A359D">
              <w:rPr>
                <w:sz w:val="20"/>
                <w:szCs w:val="20"/>
              </w:rPr>
              <w:t>Mei ‘23</w:t>
            </w:r>
          </w:p>
        </w:tc>
        <w:tc>
          <w:tcPr>
            <w:tcW w:w="850" w:type="dxa"/>
          </w:tcPr>
          <w:p w:rsidR="00816C00" w:rsidRPr="008A359D" w:rsidRDefault="00816C00" w:rsidP="00581DB9">
            <w:pPr>
              <w:pStyle w:val="ListParagraph"/>
              <w:ind w:left="0"/>
              <w:jc w:val="right"/>
              <w:rPr>
                <w:sz w:val="20"/>
                <w:szCs w:val="20"/>
              </w:rPr>
            </w:pPr>
            <w:r w:rsidRPr="008A359D">
              <w:rPr>
                <w:sz w:val="20"/>
                <w:szCs w:val="20"/>
              </w:rPr>
              <w:t>99,00</w:t>
            </w:r>
          </w:p>
        </w:tc>
        <w:tc>
          <w:tcPr>
            <w:tcW w:w="1315" w:type="dxa"/>
            <w:vMerge/>
          </w:tcPr>
          <w:p w:rsidR="00816C00" w:rsidRPr="008A359D" w:rsidRDefault="00816C00" w:rsidP="00581DB9">
            <w:pPr>
              <w:pStyle w:val="ListParagraph"/>
              <w:ind w:left="0"/>
              <w:jc w:val="center"/>
              <w:rPr>
                <w:sz w:val="20"/>
                <w:szCs w:val="20"/>
              </w:rPr>
            </w:pPr>
          </w:p>
        </w:tc>
        <w:tc>
          <w:tcPr>
            <w:tcW w:w="1276" w:type="dxa"/>
          </w:tcPr>
          <w:p w:rsidR="00816C00" w:rsidRPr="008A359D" w:rsidRDefault="00816C00" w:rsidP="00581DB9">
            <w:pPr>
              <w:pStyle w:val="ListParagraph"/>
              <w:ind w:left="0"/>
              <w:jc w:val="center"/>
              <w:rPr>
                <w:sz w:val="20"/>
                <w:szCs w:val="20"/>
              </w:rPr>
            </w:pPr>
            <w:r w:rsidRPr="008A359D">
              <w:rPr>
                <w:sz w:val="20"/>
                <w:szCs w:val="20"/>
              </w:rPr>
              <w:t>Sehat</w:t>
            </w:r>
          </w:p>
        </w:tc>
      </w:tr>
      <w:tr w:rsidR="00816C00" w:rsidRPr="008A359D" w:rsidTr="005C03F6">
        <w:tc>
          <w:tcPr>
            <w:tcW w:w="849" w:type="dxa"/>
            <w:vMerge w:val="restart"/>
          </w:tcPr>
          <w:p w:rsidR="00816C00" w:rsidRPr="008A359D" w:rsidRDefault="00816C00" w:rsidP="00581DB9">
            <w:pPr>
              <w:pStyle w:val="ListParagraph"/>
              <w:ind w:left="0"/>
              <w:jc w:val="center"/>
              <w:rPr>
                <w:sz w:val="20"/>
                <w:szCs w:val="20"/>
              </w:rPr>
            </w:pPr>
            <w:r w:rsidRPr="008A359D">
              <w:rPr>
                <w:i/>
                <w:iCs/>
                <w:sz w:val="20"/>
                <w:szCs w:val="20"/>
              </w:rPr>
              <w:lastRenderedPageBreak/>
              <w:t>BOPO</w:t>
            </w:r>
          </w:p>
        </w:tc>
        <w:tc>
          <w:tcPr>
            <w:tcW w:w="994" w:type="dxa"/>
          </w:tcPr>
          <w:p w:rsidR="00816C00" w:rsidRPr="008A359D" w:rsidRDefault="00816C00" w:rsidP="00581DB9">
            <w:pPr>
              <w:pStyle w:val="ListParagraph"/>
              <w:ind w:left="0"/>
              <w:rPr>
                <w:sz w:val="20"/>
                <w:szCs w:val="20"/>
              </w:rPr>
            </w:pPr>
            <w:r w:rsidRPr="008A359D">
              <w:rPr>
                <w:sz w:val="20"/>
                <w:szCs w:val="20"/>
              </w:rPr>
              <w:t>Apr ‘23</w:t>
            </w:r>
          </w:p>
        </w:tc>
        <w:tc>
          <w:tcPr>
            <w:tcW w:w="850" w:type="dxa"/>
          </w:tcPr>
          <w:p w:rsidR="00816C00" w:rsidRPr="008A359D" w:rsidRDefault="00816C00" w:rsidP="00581DB9">
            <w:pPr>
              <w:pStyle w:val="ListParagraph"/>
              <w:ind w:left="0"/>
              <w:jc w:val="right"/>
              <w:rPr>
                <w:sz w:val="20"/>
                <w:szCs w:val="20"/>
              </w:rPr>
            </w:pPr>
            <w:r w:rsidRPr="008A359D">
              <w:rPr>
                <w:sz w:val="20"/>
                <w:szCs w:val="20"/>
              </w:rPr>
              <w:t>54,99</w:t>
            </w:r>
          </w:p>
        </w:tc>
        <w:tc>
          <w:tcPr>
            <w:tcW w:w="1315" w:type="dxa"/>
            <w:vMerge w:val="restart"/>
          </w:tcPr>
          <w:p w:rsidR="00816C00" w:rsidRPr="008A359D" w:rsidRDefault="00816C00" w:rsidP="00581DB9">
            <w:pPr>
              <w:pStyle w:val="ListParagraph"/>
              <w:ind w:left="0"/>
              <w:jc w:val="center"/>
              <w:rPr>
                <w:sz w:val="10"/>
                <w:szCs w:val="10"/>
              </w:rPr>
            </w:pPr>
          </w:p>
          <w:p w:rsidR="00816C00" w:rsidRPr="008A359D" w:rsidRDefault="00816C00" w:rsidP="00581DB9">
            <w:pPr>
              <w:pStyle w:val="ListParagraph"/>
              <w:ind w:left="0"/>
              <w:jc w:val="center"/>
              <w:rPr>
                <w:sz w:val="20"/>
                <w:szCs w:val="20"/>
              </w:rPr>
            </w:pPr>
            <w:r w:rsidRPr="008A359D">
              <w:rPr>
                <w:sz w:val="20"/>
                <w:szCs w:val="20"/>
              </w:rPr>
              <w:t>+ 0,91</w:t>
            </w:r>
          </w:p>
        </w:tc>
        <w:tc>
          <w:tcPr>
            <w:tcW w:w="1276" w:type="dxa"/>
          </w:tcPr>
          <w:p w:rsidR="00816C00" w:rsidRPr="008A359D" w:rsidRDefault="00816C00" w:rsidP="00581DB9">
            <w:pPr>
              <w:pStyle w:val="ListParagraph"/>
              <w:ind w:left="0"/>
              <w:jc w:val="center"/>
              <w:rPr>
                <w:sz w:val="20"/>
                <w:szCs w:val="20"/>
              </w:rPr>
            </w:pPr>
            <w:r w:rsidRPr="008A359D">
              <w:rPr>
                <w:sz w:val="20"/>
                <w:szCs w:val="20"/>
              </w:rPr>
              <w:t>Sangat Sehat</w:t>
            </w:r>
          </w:p>
        </w:tc>
      </w:tr>
      <w:tr w:rsidR="00816C00" w:rsidRPr="008A359D" w:rsidTr="005C03F6">
        <w:tc>
          <w:tcPr>
            <w:tcW w:w="849" w:type="dxa"/>
            <w:vMerge/>
          </w:tcPr>
          <w:p w:rsidR="00816C00" w:rsidRPr="008A359D" w:rsidRDefault="00816C00" w:rsidP="00581DB9">
            <w:pPr>
              <w:pStyle w:val="ListParagraph"/>
              <w:ind w:left="0"/>
              <w:jc w:val="center"/>
              <w:rPr>
                <w:sz w:val="20"/>
                <w:szCs w:val="20"/>
              </w:rPr>
            </w:pPr>
          </w:p>
        </w:tc>
        <w:tc>
          <w:tcPr>
            <w:tcW w:w="994" w:type="dxa"/>
          </w:tcPr>
          <w:p w:rsidR="00816C00" w:rsidRPr="008A359D" w:rsidRDefault="00816C00" w:rsidP="00581DB9">
            <w:pPr>
              <w:pStyle w:val="ListParagraph"/>
              <w:ind w:left="0"/>
              <w:rPr>
                <w:sz w:val="20"/>
                <w:szCs w:val="20"/>
              </w:rPr>
            </w:pPr>
            <w:r w:rsidRPr="008A359D">
              <w:rPr>
                <w:sz w:val="20"/>
                <w:szCs w:val="20"/>
              </w:rPr>
              <w:t>Mei ‘23</w:t>
            </w:r>
          </w:p>
        </w:tc>
        <w:tc>
          <w:tcPr>
            <w:tcW w:w="850" w:type="dxa"/>
          </w:tcPr>
          <w:p w:rsidR="00816C00" w:rsidRPr="008A359D" w:rsidRDefault="00816C00" w:rsidP="00581DB9">
            <w:pPr>
              <w:pStyle w:val="ListParagraph"/>
              <w:ind w:left="0"/>
              <w:jc w:val="right"/>
              <w:rPr>
                <w:sz w:val="20"/>
                <w:szCs w:val="20"/>
              </w:rPr>
            </w:pPr>
            <w:r w:rsidRPr="008A359D">
              <w:rPr>
                <w:sz w:val="20"/>
                <w:szCs w:val="20"/>
              </w:rPr>
              <w:t>55,90</w:t>
            </w:r>
          </w:p>
        </w:tc>
        <w:tc>
          <w:tcPr>
            <w:tcW w:w="1315" w:type="dxa"/>
            <w:vMerge/>
          </w:tcPr>
          <w:p w:rsidR="00816C00" w:rsidRPr="008A359D" w:rsidRDefault="00816C00" w:rsidP="00581DB9">
            <w:pPr>
              <w:pStyle w:val="ListParagraph"/>
              <w:ind w:left="0"/>
              <w:jc w:val="center"/>
              <w:rPr>
                <w:sz w:val="20"/>
                <w:szCs w:val="20"/>
              </w:rPr>
            </w:pPr>
          </w:p>
        </w:tc>
        <w:tc>
          <w:tcPr>
            <w:tcW w:w="1276" w:type="dxa"/>
          </w:tcPr>
          <w:p w:rsidR="00816C00" w:rsidRPr="008A359D" w:rsidRDefault="00816C00" w:rsidP="00581DB9">
            <w:pPr>
              <w:pStyle w:val="ListParagraph"/>
              <w:ind w:left="0"/>
              <w:jc w:val="center"/>
              <w:rPr>
                <w:sz w:val="20"/>
                <w:szCs w:val="20"/>
              </w:rPr>
            </w:pPr>
            <w:r w:rsidRPr="008A359D">
              <w:rPr>
                <w:sz w:val="20"/>
                <w:szCs w:val="20"/>
              </w:rPr>
              <w:t>Sangat Sehat</w:t>
            </w:r>
          </w:p>
        </w:tc>
      </w:tr>
      <w:tr w:rsidR="00816C00" w:rsidRPr="008A359D" w:rsidTr="005C03F6">
        <w:tc>
          <w:tcPr>
            <w:tcW w:w="849" w:type="dxa"/>
            <w:vMerge w:val="restart"/>
          </w:tcPr>
          <w:p w:rsidR="00816C00" w:rsidRPr="008A359D" w:rsidRDefault="00816C00" w:rsidP="00581DB9">
            <w:pPr>
              <w:pStyle w:val="ListParagraph"/>
              <w:ind w:left="0"/>
              <w:jc w:val="center"/>
              <w:rPr>
                <w:sz w:val="20"/>
                <w:szCs w:val="20"/>
              </w:rPr>
            </w:pPr>
            <w:r w:rsidRPr="008A359D">
              <w:rPr>
                <w:i/>
                <w:iCs/>
                <w:sz w:val="20"/>
                <w:szCs w:val="20"/>
              </w:rPr>
              <w:t>FDR</w:t>
            </w:r>
          </w:p>
        </w:tc>
        <w:tc>
          <w:tcPr>
            <w:tcW w:w="994" w:type="dxa"/>
          </w:tcPr>
          <w:p w:rsidR="00816C00" w:rsidRPr="008A359D" w:rsidRDefault="00816C00" w:rsidP="00581DB9">
            <w:pPr>
              <w:pStyle w:val="ListParagraph"/>
              <w:ind w:left="0"/>
              <w:rPr>
                <w:sz w:val="20"/>
                <w:szCs w:val="20"/>
              </w:rPr>
            </w:pPr>
            <w:r w:rsidRPr="008A359D">
              <w:rPr>
                <w:sz w:val="20"/>
                <w:szCs w:val="20"/>
              </w:rPr>
              <w:t>Apr ‘23</w:t>
            </w:r>
          </w:p>
        </w:tc>
        <w:tc>
          <w:tcPr>
            <w:tcW w:w="850" w:type="dxa"/>
          </w:tcPr>
          <w:p w:rsidR="00816C00" w:rsidRPr="008A359D" w:rsidRDefault="00816C00" w:rsidP="00581DB9">
            <w:pPr>
              <w:pStyle w:val="ListParagraph"/>
              <w:ind w:left="0"/>
              <w:jc w:val="right"/>
              <w:rPr>
                <w:sz w:val="20"/>
                <w:szCs w:val="20"/>
              </w:rPr>
            </w:pPr>
            <w:r w:rsidRPr="008A359D">
              <w:rPr>
                <w:sz w:val="20"/>
                <w:szCs w:val="20"/>
              </w:rPr>
              <w:t>51,38</w:t>
            </w:r>
          </w:p>
        </w:tc>
        <w:tc>
          <w:tcPr>
            <w:tcW w:w="1315" w:type="dxa"/>
            <w:vMerge w:val="restart"/>
          </w:tcPr>
          <w:p w:rsidR="00816C00" w:rsidRPr="008A359D" w:rsidRDefault="00816C00" w:rsidP="00581DB9">
            <w:pPr>
              <w:pStyle w:val="ListParagraph"/>
              <w:ind w:left="0"/>
              <w:jc w:val="center"/>
              <w:rPr>
                <w:sz w:val="10"/>
                <w:szCs w:val="10"/>
              </w:rPr>
            </w:pPr>
          </w:p>
          <w:p w:rsidR="00816C00" w:rsidRPr="008A359D" w:rsidRDefault="00816C00" w:rsidP="00581DB9">
            <w:pPr>
              <w:pStyle w:val="ListParagraph"/>
              <w:ind w:left="0"/>
              <w:jc w:val="center"/>
              <w:rPr>
                <w:sz w:val="20"/>
                <w:szCs w:val="20"/>
              </w:rPr>
            </w:pPr>
            <w:r w:rsidRPr="008A359D">
              <w:rPr>
                <w:sz w:val="20"/>
                <w:szCs w:val="20"/>
              </w:rPr>
              <w:t>+ 1,19</w:t>
            </w:r>
          </w:p>
        </w:tc>
        <w:tc>
          <w:tcPr>
            <w:tcW w:w="1276" w:type="dxa"/>
          </w:tcPr>
          <w:p w:rsidR="00816C00" w:rsidRPr="008A359D" w:rsidRDefault="00816C00" w:rsidP="00581DB9">
            <w:pPr>
              <w:pStyle w:val="ListParagraph"/>
              <w:ind w:left="0"/>
              <w:jc w:val="center"/>
              <w:rPr>
                <w:sz w:val="20"/>
                <w:szCs w:val="20"/>
              </w:rPr>
            </w:pPr>
            <w:r w:rsidRPr="008A359D">
              <w:rPr>
                <w:sz w:val="20"/>
                <w:szCs w:val="20"/>
              </w:rPr>
              <w:t>Sangat Sehat</w:t>
            </w:r>
          </w:p>
        </w:tc>
      </w:tr>
      <w:tr w:rsidR="00816C00" w:rsidRPr="008A359D" w:rsidTr="00581DB9">
        <w:tc>
          <w:tcPr>
            <w:tcW w:w="849" w:type="dxa"/>
            <w:vMerge/>
            <w:tcBorders>
              <w:bottom w:val="single" w:sz="4" w:space="0" w:color="auto"/>
            </w:tcBorders>
          </w:tcPr>
          <w:p w:rsidR="00816C00" w:rsidRPr="008A359D" w:rsidRDefault="00816C00" w:rsidP="00581DB9">
            <w:pPr>
              <w:pStyle w:val="ListParagraph"/>
              <w:ind w:left="0"/>
              <w:rPr>
                <w:sz w:val="20"/>
                <w:szCs w:val="20"/>
              </w:rPr>
            </w:pPr>
          </w:p>
        </w:tc>
        <w:tc>
          <w:tcPr>
            <w:tcW w:w="994" w:type="dxa"/>
            <w:tcBorders>
              <w:bottom w:val="single" w:sz="4" w:space="0" w:color="auto"/>
            </w:tcBorders>
          </w:tcPr>
          <w:p w:rsidR="00816C00" w:rsidRPr="008A359D" w:rsidRDefault="00816C00" w:rsidP="00581DB9">
            <w:pPr>
              <w:pStyle w:val="ListParagraph"/>
              <w:ind w:left="0"/>
              <w:rPr>
                <w:sz w:val="20"/>
                <w:szCs w:val="20"/>
              </w:rPr>
            </w:pPr>
            <w:r w:rsidRPr="008A359D">
              <w:rPr>
                <w:sz w:val="20"/>
                <w:szCs w:val="20"/>
              </w:rPr>
              <w:t>Mei ‘23</w:t>
            </w:r>
          </w:p>
        </w:tc>
        <w:tc>
          <w:tcPr>
            <w:tcW w:w="850" w:type="dxa"/>
            <w:tcBorders>
              <w:bottom w:val="single" w:sz="4" w:space="0" w:color="auto"/>
            </w:tcBorders>
          </w:tcPr>
          <w:p w:rsidR="00816C00" w:rsidRPr="008A359D" w:rsidRDefault="00816C00" w:rsidP="00581DB9">
            <w:pPr>
              <w:pStyle w:val="ListParagraph"/>
              <w:ind w:left="0"/>
              <w:jc w:val="right"/>
              <w:rPr>
                <w:sz w:val="20"/>
                <w:szCs w:val="20"/>
              </w:rPr>
            </w:pPr>
            <w:r w:rsidRPr="008A359D">
              <w:rPr>
                <w:sz w:val="20"/>
                <w:szCs w:val="20"/>
              </w:rPr>
              <w:t>52,57</w:t>
            </w:r>
          </w:p>
        </w:tc>
        <w:tc>
          <w:tcPr>
            <w:tcW w:w="1315" w:type="dxa"/>
            <w:vMerge/>
            <w:tcBorders>
              <w:bottom w:val="single" w:sz="4" w:space="0" w:color="auto"/>
            </w:tcBorders>
          </w:tcPr>
          <w:p w:rsidR="00816C00" w:rsidRPr="008A359D" w:rsidRDefault="00816C00" w:rsidP="00581DB9">
            <w:pPr>
              <w:pStyle w:val="ListParagraph"/>
              <w:ind w:left="0"/>
              <w:jc w:val="center"/>
              <w:rPr>
                <w:sz w:val="20"/>
                <w:szCs w:val="20"/>
              </w:rPr>
            </w:pPr>
          </w:p>
        </w:tc>
        <w:tc>
          <w:tcPr>
            <w:tcW w:w="1276" w:type="dxa"/>
            <w:tcBorders>
              <w:bottom w:val="single" w:sz="4" w:space="0" w:color="auto"/>
            </w:tcBorders>
          </w:tcPr>
          <w:p w:rsidR="00816C00" w:rsidRPr="008A359D" w:rsidRDefault="00816C00" w:rsidP="00581DB9">
            <w:pPr>
              <w:pStyle w:val="ListParagraph"/>
              <w:ind w:left="0"/>
              <w:jc w:val="center"/>
              <w:rPr>
                <w:sz w:val="20"/>
                <w:szCs w:val="20"/>
              </w:rPr>
            </w:pPr>
            <w:r w:rsidRPr="008A359D">
              <w:rPr>
                <w:sz w:val="20"/>
                <w:szCs w:val="20"/>
              </w:rPr>
              <w:t>Sangat Sehat</w:t>
            </w:r>
          </w:p>
        </w:tc>
      </w:tr>
    </w:tbl>
    <w:p w:rsidR="00816C00" w:rsidRPr="008A359D" w:rsidRDefault="00816C00" w:rsidP="00816C00">
      <w:pPr>
        <w:pStyle w:val="ListParagraph"/>
        <w:rPr>
          <w:sz w:val="20"/>
          <w:szCs w:val="20"/>
        </w:rPr>
      </w:pPr>
    </w:p>
    <w:p w:rsidR="00816C00" w:rsidRPr="008A359D" w:rsidRDefault="00816C00" w:rsidP="00816C00">
      <w:pPr>
        <w:pBdr>
          <w:top w:val="nil"/>
          <w:left w:val="nil"/>
          <w:bottom w:val="nil"/>
          <w:right w:val="nil"/>
          <w:between w:val="nil"/>
        </w:pBdr>
        <w:ind w:firstLine="284"/>
        <w:jc w:val="both"/>
        <w:rPr>
          <w:sz w:val="20"/>
          <w:szCs w:val="20"/>
        </w:rPr>
      </w:pPr>
      <w:r w:rsidRPr="008A359D">
        <w:rPr>
          <w:sz w:val="20"/>
          <w:szCs w:val="20"/>
        </w:rPr>
        <w:t xml:space="preserve">Berdasarkan hasil perhitungan diatas, BSI mengalami kenaikan rasio CAR sebesar 0,35% pada bulan Mei 2023. Ketika nilai CAR ini semakin tinggi, maka potensi bank untuk menanggulangi potensi kerugian juga semakin tinggi. Baik sebelum maupun ketika serangan cyber, rasio CAR BSI dalam keadaaan sangat sehat. BSI juga mengadakan Rapat Umum Pemegang Saham Tahunan (RUPST) pada tanggal 22 Mei 2023 yang berlokasi di Jakarta. Hasil keputusan RUPST tersebut mengindikasikan dukungan yang kuat dari pemegang saham kepada manajemen untuk mempercepat rencana ekspansi bisnis perusahaan ke depannya. Pada RUPST tersebut juga dihasilkan keputusan BSI untuk membagikan deviden tunai sebesar 10% dari laba bersih perseroan tahun 2022 atau sekitar Rp426.018.167.789 </w:t>
      </w:r>
      <w:r w:rsidRPr="008A359D">
        <w:rPr>
          <w:sz w:val="20"/>
          <w:szCs w:val="20"/>
        </w:rPr>
        <w:fldChar w:fldCharType="begin" w:fldLock="1"/>
      </w:r>
      <w:r w:rsidRPr="008A359D">
        <w:rPr>
          <w:sz w:val="20"/>
          <w:szCs w:val="20"/>
        </w:rPr>
        <w:instrText>ADDIN CSL_CITATION {"citationItems":[{"id":"ITEM-1","itemData":{"URL":"https://www.cnbcindonesia.com/market/20230522172604-17-439561/tok-bsi-bagi-dividen-rp-426-m","abstract":"Rapat Umum Pemegang Saham Tahunan (RUPST) PT Bank Syariah Indonesia Tbk (BSI) menghasilkan komitmen untuk memperkuat transformasi digital dan culture, guna merealisasikan visi sebagai Top Ten Global Islamic Bank di 2025. Direktur Utama BSI Hery Gunardi mengapresiasi hasil keputusan RUPST yang digelar di Jakarta, Senin (22/5/2023) tersebut karena mengindikasikan dukungan yang kuat dari pemegang saham kepada manajemen untuk mengakselerasi rencana ekspansi bisnis perusahaan ke depannya, melalui transformasi digital dan culture. BSI Bagikan Dividen Tunai Pada RUPST tersebut, pemegang saham menyetujui untuk membagikan dividen tunai sebesar 10% dari laba bersih perseroan pada tahun 2022, atau sekitar Rp426.018.167.789,- yang ekuivalen dengan Rp9,24 per lembar saham. Kemudian, penggunaan 20% laba bersih perseroan untuk tahun buku 2022 disisihkan sebagai cadangan wajib perseroan. Adapun 70% akan dialokasikan sebagai laba ditahan.","accessed":{"date-parts":[["2024","8","9"]]},"author":[{"dropping-particle":"","family":"Binekasri","given":"Romys","non-dropping-particle":"","parse-names":false,"suffix":""}],"container-title":"CNBC Indonesia","id":"ITEM-1","issued":{"date-parts":[["2023"]]},"title":"Tok! BSI Bagi Dividen Rp 426 M","type":"webpage"},"uris":["http://www.mendeley.com/documents/?uuid=9c043ced-9955-4c6b-9763-aba10de4d100"]}],"mendeley":{"formattedCitation":"[32]","plainTextFormattedCitation":"[32]"},"properties":{"noteIndex":0},"schema":"https://github.com/citation-style-language/schema/raw/master/csl-citation.json"}</w:instrText>
      </w:r>
      <w:r w:rsidRPr="008A359D">
        <w:rPr>
          <w:sz w:val="20"/>
          <w:szCs w:val="20"/>
        </w:rPr>
        <w:fldChar w:fldCharType="separate"/>
      </w:r>
      <w:r w:rsidRPr="008A359D">
        <w:rPr>
          <w:noProof/>
          <w:sz w:val="20"/>
          <w:szCs w:val="20"/>
        </w:rPr>
        <w:t>[32]</w:t>
      </w:r>
      <w:r w:rsidRPr="008A359D">
        <w:rPr>
          <w:sz w:val="20"/>
          <w:szCs w:val="20"/>
        </w:rPr>
        <w:fldChar w:fldCharType="end"/>
      </w:r>
      <w:r w:rsidRPr="008A359D">
        <w:rPr>
          <w:sz w:val="20"/>
          <w:szCs w:val="20"/>
        </w:rPr>
        <w:t>. Hal ini menunjukkan bahwa setelah adanya serangan cyber, BSI dapat melindungi nasabah dan menjaga stabilitas keuangannya secara keseluruhan sehingga BSI tidak terkena dampak penurunan modal dan memiliki modal yang cukup untuk pengembangan usaha serta menghadapi kemungkinan resiko kerugian yang ada. Untuk terus meningkatkan nilai CAR, hal yang dapat dilakukan oleh bank yaitu dengan meningkatkan modal bank, baik modal sendiri atau modal pinjaman.</w:t>
      </w:r>
    </w:p>
    <w:p w:rsidR="00816C00" w:rsidRPr="008A359D" w:rsidRDefault="00816C00" w:rsidP="00816C00">
      <w:pPr>
        <w:pBdr>
          <w:top w:val="nil"/>
          <w:left w:val="nil"/>
          <w:bottom w:val="nil"/>
          <w:right w:val="nil"/>
          <w:between w:val="nil"/>
        </w:pBdr>
        <w:ind w:firstLine="284"/>
        <w:jc w:val="both"/>
        <w:rPr>
          <w:color w:val="000000"/>
          <w:sz w:val="20"/>
          <w:szCs w:val="20"/>
        </w:rPr>
      </w:pPr>
      <w:r w:rsidRPr="008A359D">
        <w:rPr>
          <w:sz w:val="20"/>
          <w:szCs w:val="20"/>
        </w:rPr>
        <w:t>Rasio ROA BSI mengalami kenaikan sebesar 0,17% pada bulan Mei 2023. Apabila ROA semakin tinggi, maka laba yang dihasilkan bank semakin tinggi dari pemanfaatan aset yang dimiliki. Baik sebelum maupun ketika serangan cyber, rasio ROA BSI dalam keadaaan cukup sehat. Hal ini menunjukkan bahwa setelah adanya serangan cyber, BSI menghasilkan laba yang semakin besar dan dapat memanfaatkan aset yang dimiliki dengan baik. Laba yang semakin besar ini diakibatkan oleh pendapatan bank dari penyaluran dana yang tinggi dan berakibat pada kenaikan laba sebelum pajak. BSI memiliki beberapa strategi dalam meningkatkan penyaluran dananya yang memungkinkan untuk meningkatkan kinerjanya dan menarik lebih banyak dana dari nasabah. Strategi tersebut diantaranya yaitu pembiayaan UMKM (Usaha Mikro, Kecil, dan Menengah), pengembangan produk dan layanan</w:t>
      </w:r>
      <w:r w:rsidRPr="008A359D">
        <w:rPr>
          <w:color w:val="000000"/>
          <w:sz w:val="20"/>
          <w:szCs w:val="20"/>
        </w:rPr>
        <w:t xml:space="preserve">, ekspansi dan kolaborasi, serta pengembangan teknologi pelayanan digital [26]. </w:t>
      </w:r>
    </w:p>
    <w:p w:rsidR="00816C00" w:rsidRPr="008A359D" w:rsidRDefault="00816C00" w:rsidP="00816C00">
      <w:pPr>
        <w:pBdr>
          <w:top w:val="nil"/>
          <w:left w:val="nil"/>
          <w:bottom w:val="nil"/>
          <w:right w:val="nil"/>
          <w:between w:val="nil"/>
        </w:pBdr>
        <w:ind w:firstLine="284"/>
        <w:jc w:val="both"/>
        <w:rPr>
          <w:color w:val="000000"/>
          <w:sz w:val="20"/>
          <w:szCs w:val="20"/>
        </w:rPr>
      </w:pPr>
      <w:r w:rsidRPr="008A359D">
        <w:rPr>
          <w:color w:val="000000"/>
          <w:sz w:val="20"/>
          <w:szCs w:val="20"/>
        </w:rPr>
        <w:t>Rasio NPM BSI mengalami penurunan sebesar 2,91% pada bulan Mei 2023. Apabila rasio NPM semakin tinggi, maka semakin efisien  dan baik manajemen bank. Sebaliknya, jika rasio NPM semakin rendah, maka keadaan manajemen bank semakin kurang baik. Sebelum adanya serangan cyber, rasio NPM dalam keadaan sangat sehat. Namun setelah adanya serangan cyber, rasio NPM mengalami penurunan sehingga keadaan rasio NPM menjadi sehat. Hal ini menunjukkan bahwa serangan cyber berdampak pada manajemen BSI yang semakin tidak efektif dan efisien. Penurunan tersebut berarti kemampuan manajemen bank dalam memperoleh laba mengalami inkonsistensi (kendala) jika dibandingkan dengan sebelum adanya serangan cyber. Hal ini karena tingginya biaya yang harus ditanggung BSI yang disebabkan karena tidak efisiennya operasi perusahaan setelah adanya serangan cyber sehingga laba bersih yang dihasilkan kurang maksimal.</w:t>
      </w:r>
    </w:p>
    <w:p w:rsidR="00816C00" w:rsidRPr="008A359D" w:rsidRDefault="00816C00" w:rsidP="00816C00">
      <w:pPr>
        <w:pBdr>
          <w:top w:val="nil"/>
          <w:left w:val="nil"/>
          <w:bottom w:val="nil"/>
          <w:right w:val="nil"/>
          <w:between w:val="nil"/>
        </w:pBdr>
        <w:ind w:firstLine="284"/>
        <w:jc w:val="both"/>
        <w:rPr>
          <w:color w:val="000000"/>
          <w:sz w:val="20"/>
          <w:szCs w:val="20"/>
        </w:rPr>
      </w:pPr>
      <w:r w:rsidRPr="008A359D">
        <w:rPr>
          <w:color w:val="000000"/>
          <w:sz w:val="20"/>
          <w:szCs w:val="20"/>
        </w:rPr>
        <w:t>Rasio BOPO BSI mengalami kenaikan sebesar 0,91% pada bulan Mei 2023. Apabila nilai BOPO semakin tinggi, maka semakin tidak efisien dan baik suatu bank dalam menjalankan aktivitas operasionalnya sehingga bank menghasilkan laba yang kurang  maksimal. Meskipun rasio BOPO mengalami kenaikan, namun baik sebelum maupun ketika serangan cyber, rasio BOPO dalam keadaaan sangat sehat. Hal ini menunjukkan bahwa setelah adanya serangan cyber, BSI semakin tidak efisien dalam menjalankan aktivitas operasionalnya namun masih bisa mempertahankan tingkat kesehatannya. Hal ini terjadi karena adanya peningkatan biaya operasional yang cukup besar yang diakibatkan oleh adanya serangan cyber. Namun BSI dapat mengimbanginya dengan peningkatan pendapatan dari penyaluran dana yang cukup besar pula sehingga kondisi BSI masih dalam keadaan sangat sehat.</w:t>
      </w:r>
    </w:p>
    <w:p w:rsidR="00816C00" w:rsidRPr="008A359D" w:rsidRDefault="00816C00" w:rsidP="00816C00">
      <w:pPr>
        <w:pBdr>
          <w:top w:val="nil"/>
          <w:left w:val="nil"/>
          <w:bottom w:val="nil"/>
          <w:right w:val="nil"/>
          <w:between w:val="nil"/>
        </w:pBdr>
        <w:ind w:firstLine="284"/>
        <w:jc w:val="both"/>
        <w:rPr>
          <w:color w:val="000000"/>
          <w:sz w:val="20"/>
          <w:szCs w:val="20"/>
        </w:rPr>
      </w:pPr>
      <w:r w:rsidRPr="008A359D">
        <w:rPr>
          <w:color w:val="000000"/>
          <w:sz w:val="20"/>
          <w:szCs w:val="20"/>
        </w:rPr>
        <w:t xml:space="preserve">Rasio FDR BSI mengalami kenaikan sebesar 1,19% pada bulan Mei 2023. Kenaikan rasio FDR dapat memiliki dua sisi yaitu sisi positif yang menunjukkan kemampuan bank dalam penyaluran dana dan sisi negatif yang menunjukkan penurunan likuiditasnya. Sehingga bank harus mempertimbangkan keseimbangan antara meningkatkan industri fisik dan menjaga likuiditas yang cukup untuk memenuhi kebutuhan operasional dan kredit. Meskipun mengalami kenaikan rasio FDR, baik sebelum maupun ketika serangan cyber, rasio FDR BSI dalam keadaaan sangat sehat. Hal ini menunjukkan bahwa setelah adanya serangan cyber, BSI dapat menyalurkan dana simpanannya dengan baik serta dapat menjaga likuiditasnya.  </w:t>
      </w:r>
    </w:p>
    <w:p w:rsidR="00816C00" w:rsidRPr="008A359D" w:rsidRDefault="00816C00" w:rsidP="00816C00">
      <w:pPr>
        <w:pBdr>
          <w:top w:val="nil"/>
          <w:left w:val="nil"/>
          <w:bottom w:val="nil"/>
          <w:right w:val="nil"/>
          <w:between w:val="nil"/>
        </w:pBdr>
        <w:jc w:val="both"/>
        <w:rPr>
          <w:color w:val="000000"/>
          <w:sz w:val="20"/>
          <w:szCs w:val="20"/>
        </w:rPr>
      </w:pPr>
    </w:p>
    <w:p w:rsidR="00816C00" w:rsidRPr="008A359D" w:rsidRDefault="00816C00" w:rsidP="00816C00">
      <w:pPr>
        <w:pBdr>
          <w:top w:val="nil"/>
          <w:left w:val="nil"/>
          <w:bottom w:val="nil"/>
          <w:right w:val="nil"/>
          <w:between w:val="nil"/>
        </w:pBdr>
        <w:jc w:val="both"/>
        <w:rPr>
          <w:b/>
          <w:bCs/>
          <w:color w:val="000000"/>
          <w:sz w:val="20"/>
          <w:szCs w:val="20"/>
        </w:rPr>
      </w:pPr>
      <w:r w:rsidRPr="008A359D">
        <w:rPr>
          <w:b/>
          <w:bCs/>
          <w:color w:val="000000"/>
          <w:sz w:val="20"/>
          <w:szCs w:val="20"/>
        </w:rPr>
        <w:t xml:space="preserve">Uji Hipotesis : Paired Sample T-Test </w:t>
      </w:r>
    </w:p>
    <w:p w:rsidR="00816C00" w:rsidRPr="008A359D" w:rsidRDefault="00816C00" w:rsidP="00816C00">
      <w:pPr>
        <w:pBdr>
          <w:top w:val="nil"/>
          <w:left w:val="nil"/>
          <w:bottom w:val="nil"/>
          <w:right w:val="nil"/>
          <w:between w:val="nil"/>
        </w:pBdr>
        <w:ind w:firstLine="284"/>
        <w:jc w:val="both"/>
        <w:rPr>
          <w:color w:val="000000"/>
          <w:sz w:val="20"/>
          <w:szCs w:val="20"/>
        </w:rPr>
      </w:pPr>
      <w:r w:rsidRPr="008A359D">
        <w:rPr>
          <w:color w:val="000000"/>
          <w:sz w:val="20"/>
          <w:szCs w:val="20"/>
        </w:rPr>
        <w:t>Berikut ini merupakan hasil penelitian menggunakan uji hipotesis paired sample t-test pada penilaian metode CAMEL yang tersaji dalam tabel 8.</w:t>
      </w:r>
    </w:p>
    <w:p w:rsidR="00816C00" w:rsidRPr="008A359D" w:rsidRDefault="00816C00" w:rsidP="00816C00">
      <w:pPr>
        <w:pBdr>
          <w:top w:val="nil"/>
          <w:left w:val="nil"/>
          <w:bottom w:val="nil"/>
          <w:right w:val="nil"/>
          <w:between w:val="nil"/>
        </w:pBdr>
        <w:ind w:firstLine="284"/>
        <w:jc w:val="both"/>
        <w:rPr>
          <w:color w:val="000000"/>
          <w:sz w:val="20"/>
          <w:szCs w:val="20"/>
        </w:rPr>
      </w:pPr>
    </w:p>
    <w:p w:rsidR="00816C00" w:rsidRPr="008A359D" w:rsidRDefault="00816C00" w:rsidP="00816C00">
      <w:pPr>
        <w:pBdr>
          <w:top w:val="nil"/>
          <w:left w:val="nil"/>
          <w:bottom w:val="nil"/>
          <w:right w:val="nil"/>
          <w:between w:val="nil"/>
        </w:pBdr>
        <w:ind w:firstLine="284"/>
        <w:jc w:val="both"/>
        <w:rPr>
          <w:color w:val="000000"/>
          <w:sz w:val="20"/>
          <w:szCs w:val="20"/>
        </w:rPr>
      </w:pPr>
    </w:p>
    <w:p w:rsidR="00816C00" w:rsidRPr="008A359D" w:rsidRDefault="00816C00" w:rsidP="00816C00">
      <w:pPr>
        <w:pBdr>
          <w:top w:val="nil"/>
          <w:left w:val="nil"/>
          <w:bottom w:val="nil"/>
          <w:right w:val="nil"/>
          <w:between w:val="nil"/>
        </w:pBdr>
        <w:ind w:firstLine="284"/>
        <w:jc w:val="both"/>
        <w:rPr>
          <w:color w:val="000000"/>
          <w:sz w:val="20"/>
          <w:szCs w:val="20"/>
        </w:rPr>
      </w:pPr>
    </w:p>
    <w:p w:rsidR="00816C00" w:rsidRPr="008A359D" w:rsidRDefault="00816C00" w:rsidP="00816C00">
      <w:pPr>
        <w:pBdr>
          <w:top w:val="nil"/>
          <w:left w:val="nil"/>
          <w:bottom w:val="nil"/>
          <w:right w:val="nil"/>
          <w:between w:val="nil"/>
        </w:pBdr>
        <w:ind w:firstLine="284"/>
        <w:jc w:val="both"/>
        <w:rPr>
          <w:color w:val="000000"/>
          <w:sz w:val="20"/>
          <w:szCs w:val="20"/>
        </w:rPr>
      </w:pPr>
    </w:p>
    <w:p w:rsidR="00816C00" w:rsidRPr="008A359D" w:rsidRDefault="00816C00" w:rsidP="00816C00">
      <w:pPr>
        <w:jc w:val="center"/>
        <w:rPr>
          <w:sz w:val="20"/>
          <w:szCs w:val="20"/>
        </w:rPr>
      </w:pPr>
      <w:r w:rsidRPr="008A359D">
        <w:rPr>
          <w:sz w:val="20"/>
          <w:szCs w:val="20"/>
        </w:rPr>
        <w:lastRenderedPageBreak/>
        <w:t>Tabel 8. Hasil Uji Paired Sample T-Test</w:t>
      </w:r>
    </w:p>
    <w:tbl>
      <w:tblPr>
        <w:tblW w:w="8629" w:type="dxa"/>
        <w:tblInd w:w="239" w:type="dxa"/>
        <w:tblLayout w:type="fixed"/>
        <w:tblCellMar>
          <w:left w:w="0" w:type="dxa"/>
          <w:right w:w="0" w:type="dxa"/>
        </w:tblCellMar>
        <w:tblLook w:val="0000" w:firstRow="0" w:lastRow="0" w:firstColumn="0" w:lastColumn="0" w:noHBand="0" w:noVBand="0"/>
      </w:tblPr>
      <w:tblGrid>
        <w:gridCol w:w="709"/>
        <w:gridCol w:w="1276"/>
        <w:gridCol w:w="690"/>
        <w:gridCol w:w="993"/>
        <w:gridCol w:w="992"/>
        <w:gridCol w:w="992"/>
        <w:gridCol w:w="1294"/>
        <w:gridCol w:w="470"/>
        <w:gridCol w:w="362"/>
        <w:gridCol w:w="851"/>
      </w:tblGrid>
      <w:tr w:rsidR="00816C00" w:rsidRPr="008A359D" w:rsidTr="00581DB9">
        <w:trPr>
          <w:cantSplit/>
        </w:trPr>
        <w:tc>
          <w:tcPr>
            <w:tcW w:w="8629" w:type="dxa"/>
            <w:gridSpan w:val="10"/>
            <w:tcBorders>
              <w:top w:val="single" w:sz="4" w:space="0" w:color="auto"/>
              <w:bottom w:val="single" w:sz="4" w:space="0" w:color="auto"/>
            </w:tcBorders>
            <w:shd w:val="clear" w:color="auto" w:fill="auto"/>
            <w:vAlign w:val="center"/>
          </w:tcPr>
          <w:p w:rsidR="00816C00" w:rsidRPr="008A359D" w:rsidRDefault="00816C00" w:rsidP="00581DB9">
            <w:pPr>
              <w:autoSpaceDE w:val="0"/>
              <w:autoSpaceDN w:val="0"/>
              <w:adjustRightInd w:val="0"/>
              <w:ind w:left="60" w:right="60"/>
              <w:jc w:val="center"/>
              <w:rPr>
                <w:sz w:val="20"/>
                <w:szCs w:val="20"/>
              </w:rPr>
            </w:pPr>
            <w:r w:rsidRPr="008A359D">
              <w:rPr>
                <w:b/>
                <w:bCs/>
                <w:sz w:val="20"/>
                <w:szCs w:val="20"/>
              </w:rPr>
              <w:t>Paired Samples Test</w:t>
            </w:r>
          </w:p>
        </w:tc>
      </w:tr>
      <w:tr w:rsidR="00816C00" w:rsidRPr="008A359D" w:rsidTr="00581DB9">
        <w:trPr>
          <w:cantSplit/>
        </w:trPr>
        <w:tc>
          <w:tcPr>
            <w:tcW w:w="1985" w:type="dxa"/>
            <w:gridSpan w:val="2"/>
            <w:vMerge w:val="restart"/>
            <w:tcBorders>
              <w:top w:val="single" w:sz="4" w:space="0" w:color="auto"/>
            </w:tcBorders>
            <w:shd w:val="clear" w:color="auto" w:fill="auto"/>
            <w:vAlign w:val="bottom"/>
          </w:tcPr>
          <w:p w:rsidR="00816C00" w:rsidRPr="008A359D" w:rsidRDefault="00816C00" w:rsidP="00581DB9">
            <w:pPr>
              <w:autoSpaceDE w:val="0"/>
              <w:autoSpaceDN w:val="0"/>
              <w:adjustRightInd w:val="0"/>
              <w:rPr>
                <w:sz w:val="20"/>
                <w:szCs w:val="20"/>
              </w:rPr>
            </w:pPr>
          </w:p>
        </w:tc>
        <w:tc>
          <w:tcPr>
            <w:tcW w:w="4961" w:type="dxa"/>
            <w:gridSpan w:val="5"/>
            <w:tcBorders>
              <w:top w:val="single" w:sz="4" w:space="0" w:color="auto"/>
            </w:tcBorders>
            <w:shd w:val="clear" w:color="auto" w:fill="auto"/>
            <w:vAlign w:val="bottom"/>
          </w:tcPr>
          <w:p w:rsidR="00816C00" w:rsidRPr="008A359D" w:rsidRDefault="00816C00" w:rsidP="00581DB9">
            <w:pPr>
              <w:autoSpaceDE w:val="0"/>
              <w:autoSpaceDN w:val="0"/>
              <w:adjustRightInd w:val="0"/>
              <w:ind w:left="60" w:right="60"/>
              <w:jc w:val="center"/>
              <w:rPr>
                <w:sz w:val="20"/>
                <w:szCs w:val="20"/>
              </w:rPr>
            </w:pPr>
            <w:r w:rsidRPr="008A359D">
              <w:rPr>
                <w:sz w:val="20"/>
                <w:szCs w:val="20"/>
              </w:rPr>
              <w:t>Paired Differences</w:t>
            </w:r>
          </w:p>
        </w:tc>
        <w:tc>
          <w:tcPr>
            <w:tcW w:w="470" w:type="dxa"/>
            <w:vMerge w:val="restart"/>
            <w:tcBorders>
              <w:top w:val="single" w:sz="4" w:space="0" w:color="auto"/>
            </w:tcBorders>
            <w:shd w:val="clear" w:color="auto" w:fill="auto"/>
            <w:vAlign w:val="bottom"/>
          </w:tcPr>
          <w:p w:rsidR="00816C00" w:rsidRPr="008A359D" w:rsidRDefault="00816C00" w:rsidP="00581DB9">
            <w:pPr>
              <w:autoSpaceDE w:val="0"/>
              <w:autoSpaceDN w:val="0"/>
              <w:adjustRightInd w:val="0"/>
              <w:ind w:left="60" w:right="60"/>
              <w:jc w:val="center"/>
              <w:rPr>
                <w:sz w:val="20"/>
                <w:szCs w:val="20"/>
              </w:rPr>
            </w:pPr>
            <w:r w:rsidRPr="008A359D">
              <w:rPr>
                <w:sz w:val="20"/>
                <w:szCs w:val="20"/>
              </w:rPr>
              <w:t>T</w:t>
            </w:r>
          </w:p>
        </w:tc>
        <w:tc>
          <w:tcPr>
            <w:tcW w:w="362" w:type="dxa"/>
            <w:vMerge w:val="restart"/>
            <w:tcBorders>
              <w:top w:val="single" w:sz="4" w:space="0" w:color="auto"/>
            </w:tcBorders>
            <w:shd w:val="clear" w:color="auto" w:fill="auto"/>
            <w:vAlign w:val="bottom"/>
          </w:tcPr>
          <w:p w:rsidR="00816C00" w:rsidRPr="008A359D" w:rsidRDefault="00816C00" w:rsidP="00581DB9">
            <w:pPr>
              <w:autoSpaceDE w:val="0"/>
              <w:autoSpaceDN w:val="0"/>
              <w:adjustRightInd w:val="0"/>
              <w:ind w:left="60" w:right="60"/>
              <w:jc w:val="center"/>
              <w:rPr>
                <w:sz w:val="20"/>
                <w:szCs w:val="20"/>
              </w:rPr>
            </w:pPr>
            <w:r w:rsidRPr="008A359D">
              <w:rPr>
                <w:sz w:val="20"/>
                <w:szCs w:val="20"/>
              </w:rPr>
              <w:t>df</w:t>
            </w:r>
          </w:p>
        </w:tc>
        <w:tc>
          <w:tcPr>
            <w:tcW w:w="851" w:type="dxa"/>
            <w:vMerge w:val="restart"/>
            <w:tcBorders>
              <w:top w:val="single" w:sz="4" w:space="0" w:color="auto"/>
            </w:tcBorders>
            <w:shd w:val="clear" w:color="auto" w:fill="auto"/>
            <w:vAlign w:val="bottom"/>
          </w:tcPr>
          <w:p w:rsidR="00816C00" w:rsidRPr="008A359D" w:rsidRDefault="00816C00" w:rsidP="00581DB9">
            <w:pPr>
              <w:autoSpaceDE w:val="0"/>
              <w:autoSpaceDN w:val="0"/>
              <w:adjustRightInd w:val="0"/>
              <w:ind w:left="60" w:right="60"/>
              <w:jc w:val="center"/>
              <w:rPr>
                <w:sz w:val="20"/>
                <w:szCs w:val="20"/>
              </w:rPr>
            </w:pPr>
            <w:r w:rsidRPr="008A359D">
              <w:rPr>
                <w:sz w:val="20"/>
                <w:szCs w:val="20"/>
              </w:rPr>
              <w:t>Sig. (2-tailed)</w:t>
            </w:r>
          </w:p>
        </w:tc>
      </w:tr>
      <w:tr w:rsidR="00816C00" w:rsidRPr="008A359D" w:rsidTr="00581DB9">
        <w:trPr>
          <w:cantSplit/>
        </w:trPr>
        <w:tc>
          <w:tcPr>
            <w:tcW w:w="1985" w:type="dxa"/>
            <w:gridSpan w:val="2"/>
            <w:vMerge/>
            <w:shd w:val="clear" w:color="auto" w:fill="auto"/>
            <w:vAlign w:val="bottom"/>
          </w:tcPr>
          <w:p w:rsidR="00816C00" w:rsidRPr="008A359D" w:rsidRDefault="00816C00" w:rsidP="00581DB9">
            <w:pPr>
              <w:autoSpaceDE w:val="0"/>
              <w:autoSpaceDN w:val="0"/>
              <w:adjustRightInd w:val="0"/>
              <w:rPr>
                <w:sz w:val="20"/>
                <w:szCs w:val="20"/>
              </w:rPr>
            </w:pPr>
          </w:p>
        </w:tc>
        <w:tc>
          <w:tcPr>
            <w:tcW w:w="690" w:type="dxa"/>
            <w:vMerge w:val="restart"/>
            <w:shd w:val="clear" w:color="auto" w:fill="auto"/>
            <w:vAlign w:val="bottom"/>
          </w:tcPr>
          <w:p w:rsidR="00816C00" w:rsidRPr="008A359D" w:rsidRDefault="00816C00" w:rsidP="00581DB9">
            <w:pPr>
              <w:autoSpaceDE w:val="0"/>
              <w:autoSpaceDN w:val="0"/>
              <w:adjustRightInd w:val="0"/>
              <w:ind w:left="60" w:right="60"/>
              <w:jc w:val="center"/>
              <w:rPr>
                <w:sz w:val="20"/>
                <w:szCs w:val="20"/>
              </w:rPr>
            </w:pPr>
            <w:r w:rsidRPr="008A359D">
              <w:rPr>
                <w:sz w:val="20"/>
                <w:szCs w:val="20"/>
              </w:rPr>
              <w:t>Mean</w:t>
            </w:r>
          </w:p>
        </w:tc>
        <w:tc>
          <w:tcPr>
            <w:tcW w:w="993" w:type="dxa"/>
            <w:vMerge w:val="restart"/>
            <w:shd w:val="clear" w:color="auto" w:fill="auto"/>
            <w:vAlign w:val="bottom"/>
          </w:tcPr>
          <w:p w:rsidR="00816C00" w:rsidRPr="008A359D" w:rsidRDefault="00816C00" w:rsidP="00581DB9">
            <w:pPr>
              <w:autoSpaceDE w:val="0"/>
              <w:autoSpaceDN w:val="0"/>
              <w:adjustRightInd w:val="0"/>
              <w:ind w:left="60" w:right="60"/>
              <w:jc w:val="center"/>
              <w:rPr>
                <w:sz w:val="20"/>
                <w:szCs w:val="20"/>
              </w:rPr>
            </w:pPr>
            <w:r w:rsidRPr="008A359D">
              <w:rPr>
                <w:sz w:val="20"/>
                <w:szCs w:val="20"/>
              </w:rPr>
              <w:t>Std. Deviation</w:t>
            </w:r>
          </w:p>
        </w:tc>
        <w:tc>
          <w:tcPr>
            <w:tcW w:w="992" w:type="dxa"/>
            <w:vMerge w:val="restart"/>
            <w:shd w:val="clear" w:color="auto" w:fill="auto"/>
            <w:vAlign w:val="bottom"/>
          </w:tcPr>
          <w:p w:rsidR="00816C00" w:rsidRPr="008A359D" w:rsidRDefault="00816C00" w:rsidP="00581DB9">
            <w:pPr>
              <w:autoSpaceDE w:val="0"/>
              <w:autoSpaceDN w:val="0"/>
              <w:adjustRightInd w:val="0"/>
              <w:ind w:left="60" w:right="60"/>
              <w:jc w:val="center"/>
              <w:rPr>
                <w:sz w:val="20"/>
                <w:szCs w:val="20"/>
              </w:rPr>
            </w:pPr>
            <w:r w:rsidRPr="008A359D">
              <w:rPr>
                <w:sz w:val="20"/>
                <w:szCs w:val="20"/>
              </w:rPr>
              <w:t>Std. Error Mean</w:t>
            </w:r>
          </w:p>
        </w:tc>
        <w:tc>
          <w:tcPr>
            <w:tcW w:w="2286" w:type="dxa"/>
            <w:gridSpan w:val="2"/>
            <w:shd w:val="clear" w:color="auto" w:fill="auto"/>
            <w:vAlign w:val="bottom"/>
          </w:tcPr>
          <w:p w:rsidR="00816C00" w:rsidRPr="008A359D" w:rsidRDefault="00816C00" w:rsidP="00581DB9">
            <w:pPr>
              <w:autoSpaceDE w:val="0"/>
              <w:autoSpaceDN w:val="0"/>
              <w:adjustRightInd w:val="0"/>
              <w:ind w:left="60" w:right="60"/>
              <w:jc w:val="center"/>
              <w:rPr>
                <w:sz w:val="20"/>
                <w:szCs w:val="20"/>
              </w:rPr>
            </w:pPr>
            <w:r w:rsidRPr="008A359D">
              <w:rPr>
                <w:sz w:val="20"/>
                <w:szCs w:val="20"/>
              </w:rPr>
              <w:t>95% Confidence Interval of the Difference</w:t>
            </w:r>
          </w:p>
        </w:tc>
        <w:tc>
          <w:tcPr>
            <w:tcW w:w="470" w:type="dxa"/>
            <w:vMerge/>
            <w:shd w:val="clear" w:color="auto" w:fill="auto"/>
            <w:vAlign w:val="bottom"/>
          </w:tcPr>
          <w:p w:rsidR="00816C00" w:rsidRPr="008A359D" w:rsidRDefault="00816C00" w:rsidP="00581DB9">
            <w:pPr>
              <w:autoSpaceDE w:val="0"/>
              <w:autoSpaceDN w:val="0"/>
              <w:adjustRightInd w:val="0"/>
              <w:rPr>
                <w:sz w:val="20"/>
                <w:szCs w:val="20"/>
              </w:rPr>
            </w:pPr>
          </w:p>
        </w:tc>
        <w:tc>
          <w:tcPr>
            <w:tcW w:w="362" w:type="dxa"/>
            <w:vMerge/>
            <w:shd w:val="clear" w:color="auto" w:fill="auto"/>
            <w:vAlign w:val="bottom"/>
          </w:tcPr>
          <w:p w:rsidR="00816C00" w:rsidRPr="008A359D" w:rsidRDefault="00816C00" w:rsidP="00581DB9">
            <w:pPr>
              <w:autoSpaceDE w:val="0"/>
              <w:autoSpaceDN w:val="0"/>
              <w:adjustRightInd w:val="0"/>
              <w:rPr>
                <w:sz w:val="20"/>
                <w:szCs w:val="20"/>
              </w:rPr>
            </w:pPr>
          </w:p>
        </w:tc>
        <w:tc>
          <w:tcPr>
            <w:tcW w:w="851" w:type="dxa"/>
            <w:vMerge/>
            <w:shd w:val="clear" w:color="auto" w:fill="auto"/>
            <w:vAlign w:val="bottom"/>
          </w:tcPr>
          <w:p w:rsidR="00816C00" w:rsidRPr="008A359D" w:rsidRDefault="00816C00" w:rsidP="00581DB9">
            <w:pPr>
              <w:autoSpaceDE w:val="0"/>
              <w:autoSpaceDN w:val="0"/>
              <w:adjustRightInd w:val="0"/>
              <w:rPr>
                <w:sz w:val="20"/>
                <w:szCs w:val="20"/>
              </w:rPr>
            </w:pPr>
          </w:p>
        </w:tc>
      </w:tr>
      <w:tr w:rsidR="00816C00" w:rsidRPr="008A359D" w:rsidTr="009C1AC1">
        <w:trPr>
          <w:cantSplit/>
        </w:trPr>
        <w:tc>
          <w:tcPr>
            <w:tcW w:w="1985" w:type="dxa"/>
            <w:gridSpan w:val="2"/>
            <w:vMerge/>
            <w:tcBorders>
              <w:bottom w:val="single" w:sz="4" w:space="0" w:color="FFFFFF"/>
            </w:tcBorders>
            <w:shd w:val="clear" w:color="auto" w:fill="auto"/>
            <w:vAlign w:val="bottom"/>
          </w:tcPr>
          <w:p w:rsidR="00816C00" w:rsidRPr="008A359D" w:rsidRDefault="00816C00" w:rsidP="00581DB9">
            <w:pPr>
              <w:autoSpaceDE w:val="0"/>
              <w:autoSpaceDN w:val="0"/>
              <w:adjustRightInd w:val="0"/>
              <w:rPr>
                <w:sz w:val="20"/>
                <w:szCs w:val="20"/>
              </w:rPr>
            </w:pPr>
          </w:p>
        </w:tc>
        <w:tc>
          <w:tcPr>
            <w:tcW w:w="690" w:type="dxa"/>
            <w:vMerge/>
            <w:tcBorders>
              <w:bottom w:val="single" w:sz="4" w:space="0" w:color="FFFFFF"/>
            </w:tcBorders>
            <w:shd w:val="clear" w:color="auto" w:fill="auto"/>
            <w:vAlign w:val="bottom"/>
          </w:tcPr>
          <w:p w:rsidR="00816C00" w:rsidRPr="008A359D" w:rsidRDefault="00816C00" w:rsidP="00581DB9">
            <w:pPr>
              <w:autoSpaceDE w:val="0"/>
              <w:autoSpaceDN w:val="0"/>
              <w:adjustRightInd w:val="0"/>
              <w:rPr>
                <w:sz w:val="20"/>
                <w:szCs w:val="20"/>
              </w:rPr>
            </w:pPr>
          </w:p>
        </w:tc>
        <w:tc>
          <w:tcPr>
            <w:tcW w:w="993" w:type="dxa"/>
            <w:vMerge/>
            <w:tcBorders>
              <w:bottom w:val="single" w:sz="4" w:space="0" w:color="FFFFFF"/>
            </w:tcBorders>
            <w:shd w:val="clear" w:color="auto" w:fill="auto"/>
            <w:vAlign w:val="bottom"/>
          </w:tcPr>
          <w:p w:rsidR="00816C00" w:rsidRPr="008A359D" w:rsidRDefault="00816C00" w:rsidP="00581DB9">
            <w:pPr>
              <w:autoSpaceDE w:val="0"/>
              <w:autoSpaceDN w:val="0"/>
              <w:adjustRightInd w:val="0"/>
              <w:rPr>
                <w:sz w:val="20"/>
                <w:szCs w:val="20"/>
              </w:rPr>
            </w:pPr>
          </w:p>
        </w:tc>
        <w:tc>
          <w:tcPr>
            <w:tcW w:w="992" w:type="dxa"/>
            <w:vMerge/>
            <w:tcBorders>
              <w:bottom w:val="single" w:sz="4" w:space="0" w:color="FFFFFF"/>
            </w:tcBorders>
            <w:shd w:val="clear" w:color="auto" w:fill="auto"/>
            <w:vAlign w:val="bottom"/>
          </w:tcPr>
          <w:p w:rsidR="00816C00" w:rsidRPr="008A359D" w:rsidRDefault="00816C00" w:rsidP="00581DB9">
            <w:pPr>
              <w:autoSpaceDE w:val="0"/>
              <w:autoSpaceDN w:val="0"/>
              <w:adjustRightInd w:val="0"/>
              <w:rPr>
                <w:sz w:val="20"/>
                <w:szCs w:val="20"/>
              </w:rPr>
            </w:pPr>
          </w:p>
        </w:tc>
        <w:tc>
          <w:tcPr>
            <w:tcW w:w="992" w:type="dxa"/>
            <w:tcBorders>
              <w:bottom w:val="single" w:sz="4" w:space="0" w:color="FFFFFF"/>
            </w:tcBorders>
            <w:shd w:val="clear" w:color="auto" w:fill="auto"/>
            <w:vAlign w:val="bottom"/>
          </w:tcPr>
          <w:p w:rsidR="00816C00" w:rsidRPr="008A359D" w:rsidRDefault="00816C00" w:rsidP="00581DB9">
            <w:pPr>
              <w:autoSpaceDE w:val="0"/>
              <w:autoSpaceDN w:val="0"/>
              <w:adjustRightInd w:val="0"/>
              <w:ind w:left="60" w:right="60"/>
              <w:jc w:val="center"/>
              <w:rPr>
                <w:sz w:val="20"/>
                <w:szCs w:val="20"/>
              </w:rPr>
            </w:pPr>
            <w:r w:rsidRPr="008A359D">
              <w:rPr>
                <w:sz w:val="20"/>
                <w:szCs w:val="20"/>
              </w:rPr>
              <w:t>Lower</w:t>
            </w:r>
          </w:p>
        </w:tc>
        <w:tc>
          <w:tcPr>
            <w:tcW w:w="1294" w:type="dxa"/>
            <w:tcBorders>
              <w:bottom w:val="single" w:sz="4" w:space="0" w:color="FFFFFF"/>
            </w:tcBorders>
            <w:shd w:val="clear" w:color="auto" w:fill="auto"/>
            <w:vAlign w:val="bottom"/>
          </w:tcPr>
          <w:p w:rsidR="00816C00" w:rsidRPr="008A359D" w:rsidRDefault="00816C00" w:rsidP="00581DB9">
            <w:pPr>
              <w:autoSpaceDE w:val="0"/>
              <w:autoSpaceDN w:val="0"/>
              <w:adjustRightInd w:val="0"/>
              <w:ind w:left="60" w:right="60"/>
              <w:jc w:val="center"/>
              <w:rPr>
                <w:sz w:val="20"/>
                <w:szCs w:val="20"/>
              </w:rPr>
            </w:pPr>
            <w:r w:rsidRPr="008A359D">
              <w:rPr>
                <w:sz w:val="20"/>
                <w:szCs w:val="20"/>
              </w:rPr>
              <w:t>Upper</w:t>
            </w:r>
          </w:p>
        </w:tc>
        <w:tc>
          <w:tcPr>
            <w:tcW w:w="470" w:type="dxa"/>
            <w:vMerge/>
            <w:tcBorders>
              <w:bottom w:val="single" w:sz="4" w:space="0" w:color="FFFFFF"/>
            </w:tcBorders>
            <w:shd w:val="clear" w:color="auto" w:fill="auto"/>
            <w:vAlign w:val="bottom"/>
          </w:tcPr>
          <w:p w:rsidR="00816C00" w:rsidRPr="008A359D" w:rsidRDefault="00816C00" w:rsidP="00581DB9">
            <w:pPr>
              <w:autoSpaceDE w:val="0"/>
              <w:autoSpaceDN w:val="0"/>
              <w:adjustRightInd w:val="0"/>
              <w:rPr>
                <w:sz w:val="20"/>
                <w:szCs w:val="20"/>
              </w:rPr>
            </w:pPr>
          </w:p>
        </w:tc>
        <w:tc>
          <w:tcPr>
            <w:tcW w:w="362" w:type="dxa"/>
            <w:vMerge/>
            <w:tcBorders>
              <w:bottom w:val="single" w:sz="4" w:space="0" w:color="FFFFFF"/>
            </w:tcBorders>
            <w:shd w:val="clear" w:color="auto" w:fill="auto"/>
            <w:vAlign w:val="bottom"/>
          </w:tcPr>
          <w:p w:rsidR="00816C00" w:rsidRPr="008A359D" w:rsidRDefault="00816C00" w:rsidP="00581DB9">
            <w:pPr>
              <w:autoSpaceDE w:val="0"/>
              <w:autoSpaceDN w:val="0"/>
              <w:adjustRightInd w:val="0"/>
              <w:rPr>
                <w:sz w:val="20"/>
                <w:szCs w:val="20"/>
              </w:rPr>
            </w:pPr>
          </w:p>
        </w:tc>
        <w:tc>
          <w:tcPr>
            <w:tcW w:w="851" w:type="dxa"/>
            <w:vMerge/>
            <w:tcBorders>
              <w:bottom w:val="single" w:sz="4" w:space="0" w:color="FFFFFF"/>
            </w:tcBorders>
            <w:shd w:val="clear" w:color="auto" w:fill="auto"/>
            <w:vAlign w:val="bottom"/>
          </w:tcPr>
          <w:p w:rsidR="00816C00" w:rsidRPr="008A359D" w:rsidRDefault="00816C00" w:rsidP="00581DB9">
            <w:pPr>
              <w:autoSpaceDE w:val="0"/>
              <w:autoSpaceDN w:val="0"/>
              <w:adjustRightInd w:val="0"/>
              <w:rPr>
                <w:sz w:val="20"/>
                <w:szCs w:val="20"/>
              </w:rPr>
            </w:pPr>
          </w:p>
        </w:tc>
      </w:tr>
      <w:tr w:rsidR="00816C00" w:rsidRPr="008A359D" w:rsidTr="009C1AC1">
        <w:trPr>
          <w:cantSplit/>
        </w:trPr>
        <w:tc>
          <w:tcPr>
            <w:tcW w:w="709" w:type="dxa"/>
            <w:tcBorders>
              <w:top w:val="single" w:sz="4" w:space="0" w:color="FFFFFF"/>
              <w:bottom w:val="single" w:sz="4" w:space="0" w:color="auto"/>
            </w:tcBorders>
            <w:shd w:val="clear" w:color="auto" w:fill="auto"/>
          </w:tcPr>
          <w:p w:rsidR="00816C00" w:rsidRPr="008A359D" w:rsidRDefault="00816C00" w:rsidP="00581DB9">
            <w:pPr>
              <w:autoSpaceDE w:val="0"/>
              <w:autoSpaceDN w:val="0"/>
              <w:adjustRightInd w:val="0"/>
              <w:ind w:left="60" w:right="60"/>
              <w:rPr>
                <w:sz w:val="20"/>
                <w:szCs w:val="20"/>
              </w:rPr>
            </w:pPr>
            <w:r w:rsidRPr="008A359D">
              <w:rPr>
                <w:sz w:val="20"/>
                <w:szCs w:val="20"/>
              </w:rPr>
              <w:t>Pair 1</w:t>
            </w:r>
          </w:p>
        </w:tc>
        <w:tc>
          <w:tcPr>
            <w:tcW w:w="1276" w:type="dxa"/>
            <w:tcBorders>
              <w:top w:val="single" w:sz="4" w:space="0" w:color="FFFFFF"/>
              <w:bottom w:val="single" w:sz="4" w:space="0" w:color="auto"/>
            </w:tcBorders>
            <w:shd w:val="clear" w:color="auto" w:fill="auto"/>
          </w:tcPr>
          <w:p w:rsidR="00816C00" w:rsidRPr="008A359D" w:rsidRDefault="00816C00" w:rsidP="00581DB9">
            <w:pPr>
              <w:autoSpaceDE w:val="0"/>
              <w:autoSpaceDN w:val="0"/>
              <w:adjustRightInd w:val="0"/>
              <w:ind w:left="60" w:right="60"/>
              <w:rPr>
                <w:sz w:val="20"/>
                <w:szCs w:val="20"/>
              </w:rPr>
            </w:pPr>
            <w:r w:rsidRPr="008A359D">
              <w:rPr>
                <w:sz w:val="20"/>
                <w:szCs w:val="20"/>
              </w:rPr>
              <w:t>APR (Sebelum) - MEI (Ketika)</w:t>
            </w:r>
          </w:p>
          <w:p w:rsidR="00816C00" w:rsidRPr="008A359D" w:rsidRDefault="00816C00" w:rsidP="00581DB9">
            <w:pPr>
              <w:autoSpaceDE w:val="0"/>
              <w:autoSpaceDN w:val="0"/>
              <w:adjustRightInd w:val="0"/>
              <w:ind w:left="60" w:right="60"/>
              <w:rPr>
                <w:sz w:val="10"/>
                <w:szCs w:val="10"/>
              </w:rPr>
            </w:pPr>
          </w:p>
        </w:tc>
        <w:tc>
          <w:tcPr>
            <w:tcW w:w="690" w:type="dxa"/>
            <w:tcBorders>
              <w:top w:val="single" w:sz="4" w:space="0" w:color="FFFFFF"/>
              <w:bottom w:val="single" w:sz="4" w:space="0" w:color="auto"/>
            </w:tcBorders>
            <w:shd w:val="clear" w:color="auto" w:fill="auto"/>
          </w:tcPr>
          <w:p w:rsidR="00816C00" w:rsidRPr="008A359D" w:rsidRDefault="00816C00" w:rsidP="00581DB9">
            <w:pPr>
              <w:autoSpaceDE w:val="0"/>
              <w:autoSpaceDN w:val="0"/>
              <w:adjustRightInd w:val="0"/>
              <w:ind w:left="60" w:right="60"/>
              <w:jc w:val="right"/>
              <w:rPr>
                <w:sz w:val="20"/>
                <w:szCs w:val="20"/>
              </w:rPr>
            </w:pPr>
            <w:r w:rsidRPr="008A359D">
              <w:rPr>
                <w:sz w:val="20"/>
                <w:szCs w:val="20"/>
              </w:rPr>
              <w:t>,05800</w:t>
            </w:r>
          </w:p>
        </w:tc>
        <w:tc>
          <w:tcPr>
            <w:tcW w:w="993" w:type="dxa"/>
            <w:tcBorders>
              <w:top w:val="single" w:sz="4" w:space="0" w:color="FFFFFF"/>
              <w:bottom w:val="single" w:sz="4" w:space="0" w:color="auto"/>
            </w:tcBorders>
            <w:shd w:val="clear" w:color="auto" w:fill="auto"/>
          </w:tcPr>
          <w:p w:rsidR="00816C00" w:rsidRPr="008A359D" w:rsidRDefault="00816C00" w:rsidP="00581DB9">
            <w:pPr>
              <w:autoSpaceDE w:val="0"/>
              <w:autoSpaceDN w:val="0"/>
              <w:adjustRightInd w:val="0"/>
              <w:ind w:left="60" w:right="60"/>
              <w:jc w:val="right"/>
              <w:rPr>
                <w:sz w:val="20"/>
                <w:szCs w:val="20"/>
              </w:rPr>
            </w:pPr>
            <w:r w:rsidRPr="008A359D">
              <w:rPr>
                <w:sz w:val="20"/>
                <w:szCs w:val="20"/>
              </w:rPr>
              <w:t>1,64673</w:t>
            </w:r>
          </w:p>
        </w:tc>
        <w:tc>
          <w:tcPr>
            <w:tcW w:w="992" w:type="dxa"/>
            <w:tcBorders>
              <w:top w:val="single" w:sz="4" w:space="0" w:color="FFFFFF"/>
              <w:bottom w:val="single" w:sz="4" w:space="0" w:color="auto"/>
            </w:tcBorders>
            <w:shd w:val="clear" w:color="auto" w:fill="auto"/>
          </w:tcPr>
          <w:p w:rsidR="00816C00" w:rsidRPr="008A359D" w:rsidRDefault="00816C00" w:rsidP="00581DB9">
            <w:pPr>
              <w:autoSpaceDE w:val="0"/>
              <w:autoSpaceDN w:val="0"/>
              <w:adjustRightInd w:val="0"/>
              <w:ind w:left="60" w:right="60"/>
              <w:jc w:val="right"/>
              <w:rPr>
                <w:sz w:val="20"/>
                <w:szCs w:val="20"/>
              </w:rPr>
            </w:pPr>
            <w:r w:rsidRPr="008A359D">
              <w:rPr>
                <w:sz w:val="20"/>
                <w:szCs w:val="20"/>
              </w:rPr>
              <w:t>,73644</w:t>
            </w:r>
          </w:p>
        </w:tc>
        <w:tc>
          <w:tcPr>
            <w:tcW w:w="992" w:type="dxa"/>
            <w:tcBorders>
              <w:top w:val="single" w:sz="4" w:space="0" w:color="FFFFFF"/>
              <w:bottom w:val="single" w:sz="4" w:space="0" w:color="auto"/>
            </w:tcBorders>
            <w:shd w:val="clear" w:color="auto" w:fill="auto"/>
          </w:tcPr>
          <w:p w:rsidR="00816C00" w:rsidRPr="008A359D" w:rsidRDefault="00816C00" w:rsidP="00581DB9">
            <w:pPr>
              <w:autoSpaceDE w:val="0"/>
              <w:autoSpaceDN w:val="0"/>
              <w:adjustRightInd w:val="0"/>
              <w:ind w:left="60" w:right="60"/>
              <w:jc w:val="right"/>
              <w:rPr>
                <w:sz w:val="20"/>
                <w:szCs w:val="20"/>
              </w:rPr>
            </w:pPr>
            <w:r w:rsidRPr="008A359D">
              <w:rPr>
                <w:sz w:val="20"/>
                <w:szCs w:val="20"/>
              </w:rPr>
              <w:t>-1,98669</w:t>
            </w:r>
          </w:p>
        </w:tc>
        <w:tc>
          <w:tcPr>
            <w:tcW w:w="1294" w:type="dxa"/>
            <w:tcBorders>
              <w:top w:val="single" w:sz="4" w:space="0" w:color="FFFFFF"/>
              <w:bottom w:val="single" w:sz="4" w:space="0" w:color="auto"/>
            </w:tcBorders>
            <w:shd w:val="clear" w:color="auto" w:fill="auto"/>
          </w:tcPr>
          <w:p w:rsidR="00816C00" w:rsidRPr="008A359D" w:rsidRDefault="00816C00" w:rsidP="00581DB9">
            <w:pPr>
              <w:autoSpaceDE w:val="0"/>
              <w:autoSpaceDN w:val="0"/>
              <w:adjustRightInd w:val="0"/>
              <w:ind w:left="60" w:right="60"/>
              <w:jc w:val="right"/>
              <w:rPr>
                <w:sz w:val="20"/>
                <w:szCs w:val="20"/>
              </w:rPr>
            </w:pPr>
            <w:r w:rsidRPr="008A359D">
              <w:rPr>
                <w:sz w:val="20"/>
                <w:szCs w:val="20"/>
              </w:rPr>
              <w:t>2,10269</w:t>
            </w:r>
          </w:p>
        </w:tc>
        <w:tc>
          <w:tcPr>
            <w:tcW w:w="470" w:type="dxa"/>
            <w:tcBorders>
              <w:top w:val="single" w:sz="4" w:space="0" w:color="FFFFFF"/>
              <w:bottom w:val="single" w:sz="4" w:space="0" w:color="auto"/>
            </w:tcBorders>
            <w:shd w:val="clear" w:color="auto" w:fill="auto"/>
          </w:tcPr>
          <w:p w:rsidR="00816C00" w:rsidRPr="008A359D" w:rsidRDefault="00816C00" w:rsidP="00581DB9">
            <w:pPr>
              <w:autoSpaceDE w:val="0"/>
              <w:autoSpaceDN w:val="0"/>
              <w:adjustRightInd w:val="0"/>
              <w:ind w:left="60" w:right="60"/>
              <w:jc w:val="right"/>
              <w:rPr>
                <w:sz w:val="20"/>
                <w:szCs w:val="20"/>
              </w:rPr>
            </w:pPr>
            <w:r w:rsidRPr="008A359D">
              <w:rPr>
                <w:sz w:val="20"/>
                <w:szCs w:val="20"/>
              </w:rPr>
              <w:t>,079</w:t>
            </w:r>
          </w:p>
        </w:tc>
        <w:tc>
          <w:tcPr>
            <w:tcW w:w="362" w:type="dxa"/>
            <w:tcBorders>
              <w:top w:val="single" w:sz="4" w:space="0" w:color="FFFFFF"/>
              <w:bottom w:val="single" w:sz="4" w:space="0" w:color="auto"/>
            </w:tcBorders>
            <w:shd w:val="clear" w:color="auto" w:fill="auto"/>
          </w:tcPr>
          <w:p w:rsidR="00816C00" w:rsidRPr="008A359D" w:rsidRDefault="00816C00" w:rsidP="00581DB9">
            <w:pPr>
              <w:autoSpaceDE w:val="0"/>
              <w:autoSpaceDN w:val="0"/>
              <w:adjustRightInd w:val="0"/>
              <w:ind w:left="60" w:right="60"/>
              <w:jc w:val="right"/>
              <w:rPr>
                <w:sz w:val="20"/>
                <w:szCs w:val="20"/>
              </w:rPr>
            </w:pPr>
            <w:r w:rsidRPr="008A359D">
              <w:rPr>
                <w:sz w:val="20"/>
                <w:szCs w:val="20"/>
              </w:rPr>
              <w:t>4</w:t>
            </w:r>
          </w:p>
        </w:tc>
        <w:tc>
          <w:tcPr>
            <w:tcW w:w="851" w:type="dxa"/>
            <w:tcBorders>
              <w:top w:val="single" w:sz="4" w:space="0" w:color="FFFFFF"/>
              <w:bottom w:val="single" w:sz="4" w:space="0" w:color="auto"/>
            </w:tcBorders>
            <w:shd w:val="clear" w:color="auto" w:fill="auto"/>
          </w:tcPr>
          <w:p w:rsidR="00816C00" w:rsidRPr="008A359D" w:rsidRDefault="00816C00" w:rsidP="00581DB9">
            <w:pPr>
              <w:autoSpaceDE w:val="0"/>
              <w:autoSpaceDN w:val="0"/>
              <w:adjustRightInd w:val="0"/>
              <w:ind w:left="60" w:right="60"/>
              <w:jc w:val="right"/>
              <w:rPr>
                <w:sz w:val="20"/>
                <w:szCs w:val="20"/>
              </w:rPr>
            </w:pPr>
            <w:r w:rsidRPr="008A359D">
              <w:rPr>
                <w:sz w:val="20"/>
                <w:szCs w:val="20"/>
              </w:rPr>
              <w:t>,941</w:t>
            </w:r>
          </w:p>
        </w:tc>
      </w:tr>
    </w:tbl>
    <w:p w:rsidR="00816C00" w:rsidRPr="008A359D" w:rsidRDefault="00816C00" w:rsidP="00816C00">
      <w:pPr>
        <w:pStyle w:val="ListParagraph"/>
        <w:ind w:left="0" w:firstLine="284"/>
        <w:jc w:val="both"/>
        <w:rPr>
          <w:sz w:val="20"/>
          <w:szCs w:val="20"/>
        </w:rPr>
      </w:pPr>
      <w:r w:rsidRPr="008A359D">
        <w:rPr>
          <w:sz w:val="20"/>
          <w:szCs w:val="20"/>
        </w:rPr>
        <w:t xml:space="preserve">Berdasarkan tabel pengujian diatas dengan menggunakan uji paired sample t-test, dapat diketahui bahwa signifikansi rasio </w:t>
      </w:r>
      <w:r w:rsidRPr="008A359D">
        <w:rPr>
          <w:i/>
          <w:iCs/>
          <w:sz w:val="20"/>
          <w:szCs w:val="20"/>
        </w:rPr>
        <w:t>CAMEL</w:t>
      </w:r>
      <w:r w:rsidRPr="008A359D">
        <w:rPr>
          <w:sz w:val="20"/>
          <w:szCs w:val="20"/>
        </w:rPr>
        <w:t xml:space="preserve"> Sig. (2 tailed) adalah 0,941. Hal ini menunjukkan bahwa nilai signifikansi rasio </w:t>
      </w:r>
      <w:r w:rsidRPr="008A359D">
        <w:rPr>
          <w:i/>
          <w:iCs/>
          <w:sz w:val="20"/>
          <w:szCs w:val="20"/>
        </w:rPr>
        <w:t>CAMEL</w:t>
      </w:r>
      <w:r w:rsidRPr="008A359D">
        <w:rPr>
          <w:sz w:val="20"/>
          <w:szCs w:val="20"/>
        </w:rPr>
        <w:t xml:space="preserve"> 0,941 </w:t>
      </w:r>
      <w:r w:rsidRPr="008A359D">
        <w:rPr>
          <w:sz w:val="20"/>
          <w:szCs w:val="20"/>
          <w:u w:val="single"/>
        </w:rPr>
        <w:t>&gt;</w:t>
      </w:r>
      <w:r w:rsidRPr="008A359D">
        <w:rPr>
          <w:sz w:val="20"/>
          <w:szCs w:val="20"/>
        </w:rPr>
        <w:t xml:space="preserve"> 0,05 sehingga H0 diterima dan Ha ditolak, yang berarti tidak ada perbedaan signifikan antara tingkat kesehatan BSI sebelum dan ketika serangan </w:t>
      </w:r>
      <w:r w:rsidRPr="008A359D">
        <w:rPr>
          <w:i/>
          <w:iCs/>
          <w:sz w:val="20"/>
          <w:szCs w:val="20"/>
        </w:rPr>
        <w:t>cyber</w:t>
      </w:r>
      <w:r w:rsidRPr="008A359D">
        <w:rPr>
          <w:sz w:val="20"/>
          <w:szCs w:val="20"/>
        </w:rPr>
        <w:t>.</w:t>
      </w:r>
    </w:p>
    <w:p w:rsidR="00816C00" w:rsidRPr="008A359D" w:rsidRDefault="00816C00" w:rsidP="00816C00">
      <w:pPr>
        <w:pStyle w:val="Heading1"/>
        <w:numPr>
          <w:ilvl w:val="0"/>
          <w:numId w:val="3"/>
        </w:numPr>
        <w:rPr>
          <w:sz w:val="24"/>
          <w:szCs w:val="24"/>
        </w:rPr>
      </w:pPr>
      <w:r w:rsidRPr="008A359D">
        <w:rPr>
          <w:sz w:val="24"/>
          <w:szCs w:val="24"/>
        </w:rPr>
        <w:t>IV. Simpulan</w:t>
      </w:r>
    </w:p>
    <w:p w:rsidR="00816C00" w:rsidRPr="008A359D" w:rsidRDefault="00816C00" w:rsidP="00816C00">
      <w:pPr>
        <w:pStyle w:val="JSKReferenceItem"/>
        <w:rPr>
          <w:b/>
          <w:bCs/>
          <w:color w:val="000000"/>
          <w:sz w:val="20"/>
          <w:szCs w:val="20"/>
        </w:rPr>
      </w:pPr>
      <w:r w:rsidRPr="008A359D">
        <w:rPr>
          <w:b/>
          <w:bCs/>
          <w:color w:val="000000"/>
          <w:sz w:val="20"/>
          <w:szCs w:val="20"/>
        </w:rPr>
        <w:t xml:space="preserve">Kesimpulan </w:t>
      </w:r>
    </w:p>
    <w:p w:rsidR="00816C00" w:rsidRPr="008A359D" w:rsidRDefault="00816C00" w:rsidP="00816C00">
      <w:pPr>
        <w:pStyle w:val="JSKReferenceItem"/>
        <w:numPr>
          <w:ilvl w:val="0"/>
          <w:numId w:val="0"/>
        </w:numPr>
        <w:ind w:firstLine="284"/>
        <w:rPr>
          <w:color w:val="000000"/>
          <w:sz w:val="20"/>
          <w:szCs w:val="20"/>
        </w:rPr>
      </w:pPr>
      <w:r w:rsidRPr="008A359D">
        <w:rPr>
          <w:color w:val="000000"/>
          <w:sz w:val="20"/>
          <w:szCs w:val="20"/>
        </w:rPr>
        <w:t xml:space="preserve">Setelah adanya serangan cyber, kinerja BSI masih terjaga bahkan meningkat, dapat dilihat dari kenaikan rasio CAR dan ROA yang menandakan keadaan BSI yang semakin sehat. Rasio BOPO mengalami kenaikan yang menunjukkan semakin tidak efisien aktivitas operasional BSI namun tidak begitu banyak dan masih dalam keadaan sangat sehat. Rasio NPM  mengalami penurunan sehingga manajemen BSI semakin tidak efisien tetapi masih dalam keadaan sehat. Sedangkan rasio FDR mengalami kenaikan, namun BSI dapat menyeimbangkan antara meningkatkan industri fisik dan menjaga likuiditasnya sehingga masih dalam keadaan sangat sehat. Berdasarkan hasil penelitian yang dilakukan secara keseluruhan, dapat disimpulkan bahwa tidak terdapat perbedaan yang signifikan antara tingkat kesehatan BSI sebelum dan ketika serangan cyber.  </w:t>
      </w:r>
    </w:p>
    <w:p w:rsidR="00816C00" w:rsidRPr="008A359D" w:rsidRDefault="00816C00" w:rsidP="00816C00">
      <w:pPr>
        <w:pStyle w:val="JSKReferenceItem"/>
        <w:numPr>
          <w:ilvl w:val="0"/>
          <w:numId w:val="0"/>
        </w:numPr>
        <w:ind w:firstLine="284"/>
        <w:rPr>
          <w:color w:val="000000"/>
          <w:sz w:val="20"/>
          <w:szCs w:val="20"/>
        </w:rPr>
      </w:pPr>
      <w:r w:rsidRPr="008A359D">
        <w:rPr>
          <w:color w:val="000000"/>
          <w:sz w:val="20"/>
          <w:szCs w:val="20"/>
        </w:rPr>
        <w:t>Dengan menggunakan metode CAMEL, hampir seluruh aspek yang mempengaruhi jalannya suatu bank dapat diukur dan dibandingkan. Metode CAMEL berusaha memberikan penilaian terhadap faktor manajemen yang tidak terdapat pada alat analisis lainnya. Selain itu, metode CAMEL juga memberikan standart-standart perhitungan sehingga lebih memudahkan dalam menilai tingkat kesehatan suatu bank dan dianggap lebih terbuka dengan syarat-syaratnya yang diketahui secara umum. Kesempatan BSI masih sangat besar untuk mengembangkan dan memperbaiki kinerja keuangannya, dilihat dari potensi-potensi yang dimilikinya serta adanya inovasi yang terus dilakukan dan dapat bersaing dengan bank lain.</w:t>
      </w:r>
    </w:p>
    <w:p w:rsidR="00816C00" w:rsidRPr="008A359D" w:rsidRDefault="00816C00" w:rsidP="00816C00">
      <w:pPr>
        <w:pStyle w:val="JSKReferenceItem"/>
        <w:rPr>
          <w:color w:val="000000"/>
          <w:sz w:val="20"/>
          <w:szCs w:val="20"/>
        </w:rPr>
      </w:pPr>
    </w:p>
    <w:p w:rsidR="00816C00" w:rsidRPr="008A359D" w:rsidRDefault="00816C00" w:rsidP="00816C00">
      <w:pPr>
        <w:pStyle w:val="JSKReferenceItem"/>
        <w:rPr>
          <w:b/>
          <w:bCs/>
          <w:color w:val="000000"/>
          <w:sz w:val="20"/>
          <w:szCs w:val="20"/>
        </w:rPr>
      </w:pPr>
      <w:r w:rsidRPr="008A359D">
        <w:rPr>
          <w:b/>
          <w:bCs/>
          <w:color w:val="000000"/>
          <w:sz w:val="20"/>
          <w:szCs w:val="20"/>
        </w:rPr>
        <w:t>Keterbatasan</w:t>
      </w:r>
    </w:p>
    <w:p w:rsidR="00816C00" w:rsidRPr="008A359D" w:rsidRDefault="00816C00" w:rsidP="00816C00">
      <w:pPr>
        <w:pStyle w:val="JSKReferenceItem"/>
        <w:numPr>
          <w:ilvl w:val="0"/>
          <w:numId w:val="0"/>
        </w:numPr>
        <w:ind w:firstLine="284"/>
        <w:rPr>
          <w:color w:val="000000"/>
          <w:sz w:val="20"/>
          <w:szCs w:val="20"/>
        </w:rPr>
      </w:pPr>
      <w:r w:rsidRPr="008A359D">
        <w:rPr>
          <w:color w:val="000000"/>
          <w:sz w:val="20"/>
          <w:szCs w:val="20"/>
        </w:rPr>
        <w:t xml:space="preserve">Penelitian ini memiliki keterbatasan pada objek dan sampel yang digunakan yaitu laporan keuangan bulanan bulan April 2023 &amp; Mei 2023 pada Bank Syariah Indonesia. </w:t>
      </w:r>
    </w:p>
    <w:p w:rsidR="00816C00" w:rsidRPr="008A359D" w:rsidRDefault="00816C00" w:rsidP="00816C00">
      <w:pPr>
        <w:pStyle w:val="JSKReferenceItem"/>
        <w:rPr>
          <w:color w:val="000000"/>
          <w:sz w:val="20"/>
          <w:szCs w:val="20"/>
        </w:rPr>
      </w:pPr>
    </w:p>
    <w:p w:rsidR="00816C00" w:rsidRPr="008A359D" w:rsidRDefault="00816C00" w:rsidP="00816C00">
      <w:pPr>
        <w:pStyle w:val="JSKReferenceItem"/>
        <w:rPr>
          <w:b/>
          <w:bCs/>
          <w:color w:val="000000"/>
          <w:sz w:val="20"/>
          <w:szCs w:val="20"/>
        </w:rPr>
      </w:pPr>
      <w:r w:rsidRPr="008A359D">
        <w:rPr>
          <w:b/>
          <w:bCs/>
          <w:color w:val="000000"/>
          <w:sz w:val="20"/>
          <w:szCs w:val="20"/>
        </w:rPr>
        <w:t>Saran</w:t>
      </w:r>
    </w:p>
    <w:p w:rsidR="00816C00" w:rsidRPr="008A359D" w:rsidRDefault="00816C00" w:rsidP="00816C00">
      <w:pPr>
        <w:pStyle w:val="JSKReferenceItem"/>
        <w:numPr>
          <w:ilvl w:val="0"/>
          <w:numId w:val="0"/>
        </w:numPr>
        <w:ind w:firstLine="284"/>
      </w:pPr>
      <w:r w:rsidRPr="008A359D">
        <w:rPr>
          <w:color w:val="000000"/>
          <w:sz w:val="20"/>
          <w:szCs w:val="20"/>
        </w:rPr>
        <w:t>Untuk penelitian mendatang akan lebih baik jika dapat meneliti dengan periode yang lebih lama lagi, menggunakan metode lain selain metode CAMEL atau dapat menggunakan rasio non keuangan agar dapat memperluas dan melengkapi pengetahuan dari penelitian sebelumnya.</w:t>
      </w:r>
    </w:p>
    <w:p w:rsidR="00816C00" w:rsidRPr="008A359D" w:rsidRDefault="00816C00" w:rsidP="00816C00">
      <w:pPr>
        <w:pStyle w:val="Heading1"/>
        <w:numPr>
          <w:ilvl w:val="0"/>
          <w:numId w:val="3"/>
        </w:numPr>
        <w:rPr>
          <w:sz w:val="24"/>
          <w:szCs w:val="24"/>
        </w:rPr>
      </w:pPr>
      <w:r w:rsidRPr="008A359D">
        <w:rPr>
          <w:sz w:val="24"/>
          <w:szCs w:val="24"/>
        </w:rPr>
        <w:t xml:space="preserve">Ucapan Terima Kasih </w:t>
      </w:r>
    </w:p>
    <w:p w:rsidR="00816C00" w:rsidRPr="008A359D" w:rsidRDefault="00816C00" w:rsidP="00816C00">
      <w:pPr>
        <w:pBdr>
          <w:top w:val="nil"/>
          <w:left w:val="nil"/>
          <w:bottom w:val="nil"/>
          <w:right w:val="nil"/>
          <w:between w:val="nil"/>
        </w:pBdr>
        <w:ind w:firstLine="288"/>
        <w:jc w:val="both"/>
        <w:rPr>
          <w:color w:val="000000"/>
          <w:sz w:val="20"/>
          <w:szCs w:val="20"/>
        </w:rPr>
      </w:pPr>
      <w:r w:rsidRPr="008A359D">
        <w:rPr>
          <w:color w:val="000000"/>
          <w:sz w:val="20"/>
          <w:szCs w:val="20"/>
        </w:rPr>
        <w:t>Dalam penyusunan artikel skripsi ini, penulis telah banyak memperoleh dukungan dan bantuan dari berbagai pihak mulai dari proses pengerjaan proposal hingga artikel skripsi ini selesai. Maka pada kesempatan ini, penulis ingin menyampaikan terima kasih yang tak terhingga kepada :</w:t>
      </w:r>
    </w:p>
    <w:p w:rsidR="00816C00" w:rsidRPr="008A359D" w:rsidRDefault="00816C00" w:rsidP="00816C00">
      <w:pPr>
        <w:pBdr>
          <w:top w:val="nil"/>
          <w:left w:val="nil"/>
          <w:bottom w:val="nil"/>
          <w:right w:val="nil"/>
          <w:between w:val="nil"/>
        </w:pBdr>
        <w:ind w:left="426" w:hanging="284"/>
        <w:jc w:val="both"/>
        <w:rPr>
          <w:color w:val="000000"/>
          <w:sz w:val="20"/>
          <w:szCs w:val="20"/>
        </w:rPr>
      </w:pPr>
      <w:r w:rsidRPr="008A359D">
        <w:rPr>
          <w:color w:val="000000"/>
          <w:sz w:val="20"/>
          <w:szCs w:val="20"/>
        </w:rPr>
        <w:t>1.</w:t>
      </w:r>
      <w:r w:rsidRPr="008A359D">
        <w:rPr>
          <w:color w:val="000000"/>
          <w:sz w:val="20"/>
          <w:szCs w:val="20"/>
        </w:rPr>
        <w:tab/>
        <w:t>Tuhan Yang Maha Esa, atas segala rahmatnya sehingga penulis dapat menyelesaikan artikel ini.</w:t>
      </w:r>
    </w:p>
    <w:p w:rsidR="009C1AC1" w:rsidRPr="008A359D" w:rsidRDefault="00816C00" w:rsidP="009C1AC1">
      <w:pPr>
        <w:pBdr>
          <w:top w:val="nil"/>
          <w:left w:val="nil"/>
          <w:bottom w:val="nil"/>
          <w:right w:val="nil"/>
          <w:between w:val="nil"/>
        </w:pBdr>
        <w:ind w:left="426" w:hanging="284"/>
        <w:jc w:val="both"/>
        <w:rPr>
          <w:color w:val="000000"/>
          <w:sz w:val="20"/>
          <w:szCs w:val="20"/>
        </w:rPr>
      </w:pPr>
      <w:r w:rsidRPr="008A359D">
        <w:rPr>
          <w:color w:val="000000"/>
          <w:sz w:val="20"/>
          <w:szCs w:val="20"/>
        </w:rPr>
        <w:t>2.</w:t>
      </w:r>
      <w:r w:rsidRPr="008A359D">
        <w:rPr>
          <w:color w:val="000000"/>
          <w:sz w:val="20"/>
          <w:szCs w:val="20"/>
        </w:rPr>
        <w:tab/>
      </w:r>
      <w:r w:rsidR="009C1AC1" w:rsidRPr="008A359D">
        <w:rPr>
          <w:color w:val="000000"/>
          <w:sz w:val="20"/>
          <w:szCs w:val="20"/>
        </w:rPr>
        <w:t>Orang tua serta keluarga, yang telah memberikan dukungan serta do’a kepada penulis</w:t>
      </w:r>
      <w:r w:rsidR="009C1AC1">
        <w:rPr>
          <w:color w:val="000000"/>
          <w:sz w:val="20"/>
          <w:szCs w:val="20"/>
        </w:rPr>
        <w:t>.</w:t>
      </w:r>
    </w:p>
    <w:p w:rsidR="009C1AC1" w:rsidRPr="005E1F45" w:rsidRDefault="009C1AC1" w:rsidP="009C1AC1">
      <w:pPr>
        <w:pBdr>
          <w:top w:val="nil"/>
          <w:left w:val="nil"/>
          <w:bottom w:val="nil"/>
          <w:right w:val="nil"/>
          <w:between w:val="nil"/>
        </w:pBdr>
        <w:ind w:left="426" w:hanging="284"/>
        <w:jc w:val="both"/>
        <w:rPr>
          <w:color w:val="000000"/>
          <w:sz w:val="20"/>
          <w:szCs w:val="20"/>
        </w:rPr>
      </w:pPr>
      <w:r w:rsidRPr="008A359D">
        <w:rPr>
          <w:color w:val="000000"/>
          <w:sz w:val="20"/>
          <w:szCs w:val="20"/>
        </w:rPr>
        <w:t>3.</w:t>
      </w:r>
      <w:r w:rsidRPr="008A359D">
        <w:rPr>
          <w:color w:val="000000"/>
          <w:sz w:val="20"/>
          <w:szCs w:val="20"/>
        </w:rPr>
        <w:tab/>
      </w:r>
      <w:r>
        <w:rPr>
          <w:color w:val="000000"/>
          <w:sz w:val="20"/>
          <w:szCs w:val="20"/>
        </w:rPr>
        <w:t>Orang terdekat yang selalu memberikan dukungan serta bantuan kepada penulis.</w:t>
      </w:r>
    </w:p>
    <w:p w:rsidR="00816C00" w:rsidRPr="008A359D" w:rsidRDefault="009C1AC1" w:rsidP="009C1AC1">
      <w:pPr>
        <w:pBdr>
          <w:top w:val="nil"/>
          <w:left w:val="nil"/>
          <w:bottom w:val="nil"/>
          <w:right w:val="nil"/>
          <w:between w:val="nil"/>
        </w:pBdr>
        <w:ind w:left="426" w:hanging="284"/>
        <w:jc w:val="both"/>
        <w:rPr>
          <w:b/>
          <w:color w:val="000000"/>
          <w:sz w:val="20"/>
          <w:szCs w:val="20"/>
        </w:rPr>
      </w:pPr>
      <w:r w:rsidRPr="008A359D">
        <w:rPr>
          <w:color w:val="000000"/>
          <w:sz w:val="20"/>
          <w:szCs w:val="20"/>
        </w:rPr>
        <w:t>3.</w:t>
      </w:r>
      <w:r w:rsidRPr="008A359D">
        <w:rPr>
          <w:color w:val="000000"/>
          <w:sz w:val="20"/>
          <w:szCs w:val="20"/>
        </w:rPr>
        <w:tab/>
        <w:t>Teman-teman dan rekan kerja yang telah membantu dalam kelancaran pengerjaan artikel</w:t>
      </w:r>
      <w:r>
        <w:rPr>
          <w:color w:val="000000"/>
          <w:sz w:val="20"/>
          <w:szCs w:val="20"/>
        </w:rPr>
        <w:t xml:space="preserve"> ini.</w:t>
      </w:r>
    </w:p>
    <w:p w:rsidR="00816C00" w:rsidRPr="008A359D" w:rsidRDefault="00816C00" w:rsidP="00816C00">
      <w:pPr>
        <w:pBdr>
          <w:top w:val="nil"/>
          <w:left w:val="nil"/>
          <w:bottom w:val="nil"/>
          <w:right w:val="nil"/>
          <w:between w:val="nil"/>
        </w:pBdr>
        <w:ind w:firstLine="288"/>
        <w:jc w:val="both"/>
        <w:rPr>
          <w:b/>
          <w:color w:val="000000"/>
          <w:sz w:val="20"/>
          <w:szCs w:val="20"/>
        </w:rPr>
      </w:pPr>
    </w:p>
    <w:p w:rsidR="00816C00" w:rsidRPr="008A359D" w:rsidRDefault="00816C00" w:rsidP="00816C00">
      <w:pPr>
        <w:pBdr>
          <w:top w:val="nil"/>
          <w:left w:val="nil"/>
          <w:bottom w:val="nil"/>
          <w:right w:val="nil"/>
          <w:between w:val="nil"/>
        </w:pBdr>
        <w:ind w:firstLine="288"/>
        <w:jc w:val="both"/>
        <w:rPr>
          <w:b/>
          <w:color w:val="000000"/>
          <w:sz w:val="20"/>
          <w:szCs w:val="20"/>
        </w:rPr>
      </w:pPr>
    </w:p>
    <w:p w:rsidR="00816C00" w:rsidRPr="008A359D" w:rsidRDefault="00816C00" w:rsidP="00816C00">
      <w:pPr>
        <w:pBdr>
          <w:top w:val="nil"/>
          <w:left w:val="nil"/>
          <w:bottom w:val="nil"/>
          <w:right w:val="nil"/>
          <w:between w:val="nil"/>
        </w:pBdr>
        <w:ind w:firstLine="288"/>
        <w:jc w:val="both"/>
        <w:rPr>
          <w:b/>
          <w:color w:val="000000"/>
          <w:sz w:val="20"/>
          <w:szCs w:val="20"/>
        </w:rPr>
      </w:pPr>
    </w:p>
    <w:p w:rsidR="00816C00" w:rsidRPr="008A359D" w:rsidRDefault="00816C00" w:rsidP="00816C00">
      <w:pPr>
        <w:pBdr>
          <w:top w:val="nil"/>
          <w:left w:val="nil"/>
          <w:bottom w:val="nil"/>
          <w:right w:val="nil"/>
          <w:between w:val="nil"/>
        </w:pBdr>
        <w:ind w:firstLine="288"/>
        <w:jc w:val="both"/>
        <w:rPr>
          <w:b/>
          <w:color w:val="000000"/>
          <w:sz w:val="20"/>
          <w:szCs w:val="20"/>
        </w:rPr>
      </w:pPr>
    </w:p>
    <w:p w:rsidR="00816C00" w:rsidRPr="008A359D" w:rsidRDefault="00816C00" w:rsidP="00816C00">
      <w:pPr>
        <w:pStyle w:val="Heading1"/>
        <w:numPr>
          <w:ilvl w:val="0"/>
          <w:numId w:val="3"/>
        </w:numPr>
        <w:tabs>
          <w:tab w:val="left" w:pos="0"/>
        </w:tabs>
        <w:rPr>
          <w:sz w:val="24"/>
          <w:szCs w:val="24"/>
        </w:rPr>
      </w:pPr>
      <w:r w:rsidRPr="008A359D">
        <w:rPr>
          <w:sz w:val="24"/>
          <w:szCs w:val="24"/>
        </w:rPr>
        <w:lastRenderedPageBreak/>
        <w:t>Referensi</w:t>
      </w:r>
    </w:p>
    <w:p w:rsidR="00816C00" w:rsidRPr="008A359D" w:rsidRDefault="00816C00" w:rsidP="00816C00">
      <w:pPr>
        <w:widowControl w:val="0"/>
        <w:autoSpaceDE w:val="0"/>
        <w:autoSpaceDN w:val="0"/>
        <w:adjustRightInd w:val="0"/>
        <w:ind w:left="640" w:hanging="640"/>
        <w:rPr>
          <w:noProof/>
          <w:sz w:val="20"/>
        </w:rPr>
      </w:pPr>
      <w:r w:rsidRPr="008A359D">
        <w:rPr>
          <w:color w:val="000000"/>
          <w:sz w:val="20"/>
          <w:szCs w:val="20"/>
        </w:rPr>
        <w:fldChar w:fldCharType="begin" w:fldLock="1"/>
      </w:r>
      <w:r w:rsidRPr="008A359D">
        <w:rPr>
          <w:color w:val="000000"/>
          <w:sz w:val="20"/>
          <w:szCs w:val="20"/>
        </w:rPr>
        <w:instrText xml:space="preserve">ADDIN Mendeley Bibliography CSL_BIBLIOGRAPHY </w:instrText>
      </w:r>
      <w:r w:rsidRPr="008A359D">
        <w:rPr>
          <w:color w:val="000000"/>
          <w:sz w:val="20"/>
          <w:szCs w:val="20"/>
        </w:rPr>
        <w:fldChar w:fldCharType="separate"/>
      </w:r>
      <w:r w:rsidRPr="008A359D">
        <w:rPr>
          <w:noProof/>
          <w:sz w:val="20"/>
        </w:rPr>
        <w:t>[1]</w:t>
      </w:r>
      <w:r w:rsidRPr="008A359D">
        <w:rPr>
          <w:noProof/>
          <w:sz w:val="20"/>
        </w:rPr>
        <w:tab/>
        <w:t xml:space="preserve">R. Indonesia, “Undang Undang Nomor 10 Tahun 1998 tentang Perubahan atas UU Nomor 7 Tahun 1992,” </w:t>
      </w:r>
      <w:r w:rsidRPr="008A359D">
        <w:rPr>
          <w:i/>
          <w:iCs/>
          <w:noProof/>
          <w:sz w:val="20"/>
        </w:rPr>
        <w:t>Https://Peraturan.Bpk.Go.Id/</w:t>
      </w:r>
      <w:r w:rsidRPr="008A359D">
        <w:rPr>
          <w:noProof/>
          <w:sz w:val="20"/>
        </w:rPr>
        <w:t>, p. 63, 1998.</w:t>
      </w:r>
    </w:p>
    <w:p w:rsidR="00816C00" w:rsidRPr="008A359D" w:rsidRDefault="00816C00" w:rsidP="00816C00">
      <w:pPr>
        <w:widowControl w:val="0"/>
        <w:autoSpaceDE w:val="0"/>
        <w:autoSpaceDN w:val="0"/>
        <w:adjustRightInd w:val="0"/>
        <w:ind w:left="640" w:hanging="640"/>
        <w:rPr>
          <w:noProof/>
          <w:sz w:val="20"/>
        </w:rPr>
      </w:pPr>
      <w:r w:rsidRPr="008A359D">
        <w:rPr>
          <w:noProof/>
          <w:sz w:val="20"/>
        </w:rPr>
        <w:t>[2]</w:t>
      </w:r>
      <w:r w:rsidRPr="008A359D">
        <w:rPr>
          <w:noProof/>
          <w:sz w:val="20"/>
        </w:rPr>
        <w:tab/>
        <w:t>B. S. Indonesia, “Bank Syariah Indonesia,” Bank Syariah Indonesia. [Online]. Available: bankbsi.co.id</w:t>
      </w:r>
    </w:p>
    <w:p w:rsidR="00816C00" w:rsidRPr="008A359D" w:rsidRDefault="00816C00" w:rsidP="00816C00">
      <w:pPr>
        <w:widowControl w:val="0"/>
        <w:autoSpaceDE w:val="0"/>
        <w:autoSpaceDN w:val="0"/>
        <w:adjustRightInd w:val="0"/>
        <w:ind w:left="640" w:hanging="640"/>
        <w:rPr>
          <w:noProof/>
          <w:sz w:val="20"/>
        </w:rPr>
      </w:pPr>
      <w:r w:rsidRPr="008A359D">
        <w:rPr>
          <w:noProof/>
          <w:sz w:val="20"/>
        </w:rPr>
        <w:t>[3]</w:t>
      </w:r>
      <w:r w:rsidRPr="008A359D">
        <w:rPr>
          <w:noProof/>
          <w:sz w:val="20"/>
        </w:rPr>
        <w:tab/>
        <w:t>P. S. H. Ika Aprilia, “BSI ‘Error’ Kena ‘Ransomware’, Wamen BUMN: Data Diretas dari Komputer Kantor Cabang,” Kompas.com. Accessed: Jun. 07, 2024. [Online]. Available: https://money.kompas.com/read/2023/06/05/194032226/bsi-error-kena-ransomware-wamen-bumn-data-diretas-dari-komputer-kantor-cabang</w:t>
      </w:r>
    </w:p>
    <w:p w:rsidR="00816C00" w:rsidRPr="008A359D" w:rsidRDefault="00816C00" w:rsidP="00816C00">
      <w:pPr>
        <w:widowControl w:val="0"/>
        <w:autoSpaceDE w:val="0"/>
        <w:autoSpaceDN w:val="0"/>
        <w:adjustRightInd w:val="0"/>
        <w:ind w:left="640" w:hanging="640"/>
        <w:rPr>
          <w:noProof/>
          <w:sz w:val="20"/>
        </w:rPr>
      </w:pPr>
      <w:r w:rsidRPr="008A359D">
        <w:rPr>
          <w:noProof/>
          <w:sz w:val="20"/>
        </w:rPr>
        <w:t>[4]</w:t>
      </w:r>
      <w:r w:rsidRPr="008A359D">
        <w:rPr>
          <w:noProof/>
          <w:sz w:val="20"/>
        </w:rPr>
        <w:tab/>
        <w:t>A. Volle, “Ransomware perangkat lunak perusak,” Britannica. Accessed: Jun. 07, 2024. [Online]. Available: https://www.britannica.com/technology/ransomware</w:t>
      </w:r>
    </w:p>
    <w:p w:rsidR="00816C00" w:rsidRPr="008A359D" w:rsidRDefault="00816C00" w:rsidP="00816C00">
      <w:pPr>
        <w:widowControl w:val="0"/>
        <w:autoSpaceDE w:val="0"/>
        <w:autoSpaceDN w:val="0"/>
        <w:adjustRightInd w:val="0"/>
        <w:ind w:left="640" w:hanging="640"/>
        <w:rPr>
          <w:noProof/>
          <w:sz w:val="20"/>
        </w:rPr>
      </w:pPr>
      <w:r w:rsidRPr="008A359D">
        <w:rPr>
          <w:noProof/>
          <w:sz w:val="20"/>
        </w:rPr>
        <w:t>[5]</w:t>
      </w:r>
      <w:r w:rsidRPr="008A359D">
        <w:rPr>
          <w:noProof/>
          <w:sz w:val="20"/>
        </w:rPr>
        <w:tab/>
        <w:t>C. Indonesia, “Kronologi Dugaan Serangan Siber Terhadap BSI, Transaksi Sempat Lumpuh,” CNN Indonesia. Accessed: Jun. 07, 2024. [Online]. Available: https://www.cnnindonesia.com/teknologi/20230511084123-192-948087/kronologi-dugaan-serangan-siber-terhadap-bsi-transaksi-sempat-lumpuh</w:t>
      </w:r>
    </w:p>
    <w:p w:rsidR="00816C00" w:rsidRPr="008A359D" w:rsidRDefault="00816C00" w:rsidP="00816C00">
      <w:pPr>
        <w:widowControl w:val="0"/>
        <w:autoSpaceDE w:val="0"/>
        <w:autoSpaceDN w:val="0"/>
        <w:adjustRightInd w:val="0"/>
        <w:ind w:left="640" w:hanging="640"/>
        <w:rPr>
          <w:noProof/>
          <w:sz w:val="20"/>
        </w:rPr>
      </w:pPr>
      <w:r w:rsidRPr="008A359D">
        <w:rPr>
          <w:noProof/>
          <w:sz w:val="20"/>
        </w:rPr>
        <w:t>[6]</w:t>
      </w:r>
      <w:r w:rsidRPr="008A359D">
        <w:rPr>
          <w:noProof/>
          <w:sz w:val="20"/>
        </w:rPr>
        <w:tab/>
        <w:t>K. TV, “Repotnya Nasabah Saat BSI Gangguan, Sampai Beralih Buka Rekening Bank Lain,” Kompas TV. Accessed: Jun. 06, 2024. [Online]. Available: https://www.kompas.tv/ekonomi/405655/repotnya-nasabah-saat-bsi-gangguan-sampai-beralih-buka-rekening-bank-lain?page=all</w:t>
      </w:r>
    </w:p>
    <w:p w:rsidR="00816C00" w:rsidRPr="008A359D" w:rsidRDefault="00816C00" w:rsidP="00816C00">
      <w:pPr>
        <w:widowControl w:val="0"/>
        <w:autoSpaceDE w:val="0"/>
        <w:autoSpaceDN w:val="0"/>
        <w:adjustRightInd w:val="0"/>
        <w:ind w:left="640" w:hanging="640"/>
        <w:rPr>
          <w:noProof/>
          <w:sz w:val="20"/>
        </w:rPr>
      </w:pPr>
      <w:r w:rsidRPr="008A359D">
        <w:rPr>
          <w:noProof/>
          <w:sz w:val="20"/>
        </w:rPr>
        <w:t>[7]</w:t>
      </w:r>
      <w:r w:rsidRPr="008A359D">
        <w:rPr>
          <w:noProof/>
          <w:sz w:val="20"/>
        </w:rPr>
        <w:tab/>
        <w:t>H. Prastyo, “Serangan Ransomware Menghantui Bank BSI Pelajaran Penting dalam Keamanan Cyber,” inixindo.id. Accessed: Jun. 06, 2024. [Online]. Available: https://www.inixindo.id/serangan-ransomware-menghantui-bank-bsi-pelajaran-penting-dalam-keamanan-cyber/</w:t>
      </w:r>
    </w:p>
    <w:p w:rsidR="00816C00" w:rsidRPr="008A359D" w:rsidRDefault="00816C00" w:rsidP="00816C00">
      <w:pPr>
        <w:widowControl w:val="0"/>
        <w:autoSpaceDE w:val="0"/>
        <w:autoSpaceDN w:val="0"/>
        <w:adjustRightInd w:val="0"/>
        <w:ind w:left="640" w:hanging="640"/>
        <w:rPr>
          <w:noProof/>
          <w:sz w:val="20"/>
        </w:rPr>
      </w:pPr>
      <w:r w:rsidRPr="008A359D">
        <w:rPr>
          <w:noProof/>
          <w:sz w:val="20"/>
        </w:rPr>
        <w:t>[8]</w:t>
      </w:r>
      <w:r w:rsidRPr="008A359D">
        <w:rPr>
          <w:noProof/>
          <w:sz w:val="20"/>
        </w:rPr>
        <w:tab/>
        <w:t xml:space="preserve">S. Umri Hayati, Y. U. Tika, A. H. Harahap, and A. F. H. Hasibuan, “Analisis Tingkat Kesehatan Bank Syariah Indonesia Menggunakan Metode CAMEL (Tahun 2020-2021),” </w:t>
      </w:r>
      <w:r w:rsidRPr="008A359D">
        <w:rPr>
          <w:i/>
          <w:iCs/>
          <w:noProof/>
          <w:sz w:val="20"/>
        </w:rPr>
        <w:t>J. Ekobistek</w:t>
      </w:r>
      <w:r w:rsidRPr="008A359D">
        <w:rPr>
          <w:noProof/>
          <w:sz w:val="20"/>
        </w:rPr>
        <w:t>, vol. 11, no. 3, pp. 137–142, 2022, doi: 10.35134/ekobistek.v11i3.331.</w:t>
      </w:r>
    </w:p>
    <w:p w:rsidR="00816C00" w:rsidRPr="008A359D" w:rsidRDefault="00816C00" w:rsidP="00816C00">
      <w:pPr>
        <w:widowControl w:val="0"/>
        <w:autoSpaceDE w:val="0"/>
        <w:autoSpaceDN w:val="0"/>
        <w:adjustRightInd w:val="0"/>
        <w:ind w:left="640" w:hanging="640"/>
        <w:rPr>
          <w:noProof/>
          <w:sz w:val="20"/>
        </w:rPr>
      </w:pPr>
      <w:r w:rsidRPr="008A359D">
        <w:rPr>
          <w:noProof/>
          <w:sz w:val="20"/>
        </w:rPr>
        <w:t>[9]</w:t>
      </w:r>
      <w:r w:rsidRPr="008A359D">
        <w:rPr>
          <w:noProof/>
          <w:sz w:val="20"/>
        </w:rPr>
        <w:tab/>
        <w:t xml:space="preserve">E. P. Ayu and N. Nurulrahmatiah, “Analisis Tingkat Kesehatan Bank dengan Menggunakan Metode CAMEL pada Perbankan BUMN yang terdaftar di BEI Tahun 2017-2021,” </w:t>
      </w:r>
      <w:r w:rsidRPr="008A359D">
        <w:rPr>
          <w:i/>
          <w:iCs/>
          <w:noProof/>
          <w:sz w:val="20"/>
        </w:rPr>
        <w:t>J-CEKI  J. Cendekia Ilm.</w:t>
      </w:r>
      <w:r w:rsidRPr="008A359D">
        <w:rPr>
          <w:noProof/>
          <w:sz w:val="20"/>
        </w:rPr>
        <w:t>, vol. 2, no. 6, pp. 676–692, 2023.</w:t>
      </w:r>
    </w:p>
    <w:p w:rsidR="00816C00" w:rsidRPr="008A359D" w:rsidRDefault="00816C00" w:rsidP="00816C00">
      <w:pPr>
        <w:widowControl w:val="0"/>
        <w:autoSpaceDE w:val="0"/>
        <w:autoSpaceDN w:val="0"/>
        <w:adjustRightInd w:val="0"/>
        <w:ind w:left="640" w:hanging="640"/>
        <w:rPr>
          <w:noProof/>
          <w:sz w:val="20"/>
        </w:rPr>
      </w:pPr>
      <w:r w:rsidRPr="008A359D">
        <w:rPr>
          <w:noProof/>
          <w:sz w:val="20"/>
        </w:rPr>
        <w:t>[10]</w:t>
      </w:r>
      <w:r w:rsidRPr="008A359D">
        <w:rPr>
          <w:noProof/>
          <w:sz w:val="20"/>
        </w:rPr>
        <w:tab/>
        <w:t xml:space="preserve">PBI, “Peraturan Bank Indonesia No.13/1/PBI/2011 Tentang Penilaian Tingkat Kesehatan Bank Umum,” </w:t>
      </w:r>
      <w:r w:rsidRPr="008A359D">
        <w:rPr>
          <w:i/>
          <w:iCs/>
          <w:noProof/>
          <w:sz w:val="20"/>
        </w:rPr>
        <w:t>Peratur. Bank Indones.</w:t>
      </w:r>
      <w:r w:rsidRPr="008A359D">
        <w:rPr>
          <w:noProof/>
          <w:sz w:val="20"/>
        </w:rPr>
        <w:t>, pp. 1–31, 2011.</w:t>
      </w:r>
    </w:p>
    <w:p w:rsidR="00816C00" w:rsidRPr="008A359D" w:rsidRDefault="00816C00" w:rsidP="00816C00">
      <w:pPr>
        <w:widowControl w:val="0"/>
        <w:autoSpaceDE w:val="0"/>
        <w:autoSpaceDN w:val="0"/>
        <w:adjustRightInd w:val="0"/>
        <w:ind w:left="640" w:hanging="640"/>
        <w:rPr>
          <w:noProof/>
          <w:sz w:val="20"/>
        </w:rPr>
      </w:pPr>
      <w:r w:rsidRPr="008A359D">
        <w:rPr>
          <w:noProof/>
          <w:sz w:val="20"/>
        </w:rPr>
        <w:t>[11]</w:t>
      </w:r>
      <w:r w:rsidRPr="008A359D">
        <w:rPr>
          <w:noProof/>
          <w:sz w:val="20"/>
        </w:rPr>
        <w:tab/>
        <w:t xml:space="preserve">Otoritas Jasa Keuangan Republik Indonesia, “Penilaian Tingkat Kesehatan Bank Umum Nomor 4/POJK.03/2016,” </w:t>
      </w:r>
      <w:r w:rsidRPr="008A359D">
        <w:rPr>
          <w:i/>
          <w:iCs/>
          <w:noProof/>
          <w:sz w:val="20"/>
        </w:rPr>
        <w:t>Otoritas Jasa Keuang.</w:t>
      </w:r>
      <w:r w:rsidRPr="008A359D">
        <w:rPr>
          <w:noProof/>
          <w:sz w:val="20"/>
        </w:rPr>
        <w:t>, pp. 1–27, 2016.</w:t>
      </w:r>
    </w:p>
    <w:p w:rsidR="00816C00" w:rsidRPr="008A359D" w:rsidRDefault="00816C00" w:rsidP="00816C00">
      <w:pPr>
        <w:widowControl w:val="0"/>
        <w:autoSpaceDE w:val="0"/>
        <w:autoSpaceDN w:val="0"/>
        <w:adjustRightInd w:val="0"/>
        <w:ind w:left="640" w:hanging="640"/>
        <w:rPr>
          <w:noProof/>
          <w:sz w:val="20"/>
        </w:rPr>
      </w:pPr>
      <w:r w:rsidRPr="008A359D">
        <w:rPr>
          <w:noProof/>
          <w:sz w:val="20"/>
        </w:rPr>
        <w:t>[12]</w:t>
      </w:r>
      <w:r w:rsidRPr="008A359D">
        <w:rPr>
          <w:noProof/>
          <w:sz w:val="20"/>
        </w:rPr>
        <w:tab/>
        <w:t>O. T. Ogesta, E. Astria, A. N. Qalbi, S. Pasang, and M. Mursadila, “Kesehatan Bank Dengan Menggunakan Metode Camel ( Studi Kasus Pada Pt Bank Mega Syariah Dan Pt Bank Syariah Indonesia Periode 2019-2021 ),” vol. 1, no. 1, pp. 16–23, 2023.</w:t>
      </w:r>
    </w:p>
    <w:p w:rsidR="00816C00" w:rsidRPr="008A359D" w:rsidRDefault="00816C00" w:rsidP="00816C00">
      <w:pPr>
        <w:widowControl w:val="0"/>
        <w:autoSpaceDE w:val="0"/>
        <w:autoSpaceDN w:val="0"/>
        <w:adjustRightInd w:val="0"/>
        <w:ind w:left="640" w:hanging="640"/>
        <w:rPr>
          <w:noProof/>
          <w:sz w:val="20"/>
        </w:rPr>
      </w:pPr>
      <w:r w:rsidRPr="008A359D">
        <w:rPr>
          <w:noProof/>
          <w:sz w:val="20"/>
        </w:rPr>
        <w:t>[13]</w:t>
      </w:r>
      <w:r w:rsidRPr="008A359D">
        <w:rPr>
          <w:noProof/>
          <w:sz w:val="20"/>
        </w:rPr>
        <w:tab/>
        <w:t xml:space="preserve">L. I. Rismala, T. Triposa, D. Aprilianty, D. Elvina, and N. Sunardi, “Analisa Camel dan RGEC untuk mengukur tingkat Kesehatan Bank,” </w:t>
      </w:r>
      <w:r w:rsidRPr="008A359D">
        <w:rPr>
          <w:i/>
          <w:iCs/>
          <w:noProof/>
          <w:sz w:val="20"/>
        </w:rPr>
        <w:t>J. Sekuritas Saham, Ekon. Keuang. dan Investasi</w:t>
      </w:r>
      <w:r w:rsidRPr="008A359D">
        <w:rPr>
          <w:noProof/>
          <w:sz w:val="20"/>
        </w:rPr>
        <w:t>, vol. 5, no. 1, pp. 25–42, 2021.</w:t>
      </w:r>
    </w:p>
    <w:p w:rsidR="00816C00" w:rsidRPr="008A359D" w:rsidRDefault="00816C00" w:rsidP="00816C00">
      <w:pPr>
        <w:widowControl w:val="0"/>
        <w:autoSpaceDE w:val="0"/>
        <w:autoSpaceDN w:val="0"/>
        <w:adjustRightInd w:val="0"/>
        <w:ind w:left="640" w:hanging="640"/>
        <w:rPr>
          <w:noProof/>
          <w:sz w:val="20"/>
        </w:rPr>
      </w:pPr>
      <w:r w:rsidRPr="008A359D">
        <w:rPr>
          <w:noProof/>
          <w:sz w:val="20"/>
        </w:rPr>
        <w:t>[14]</w:t>
      </w:r>
      <w:r w:rsidRPr="008A359D">
        <w:rPr>
          <w:noProof/>
          <w:sz w:val="20"/>
        </w:rPr>
        <w:tab/>
        <w:t xml:space="preserve">I. R. K. Jati, “Analisis Kinerja Keuangan Mengenai Tingkat Kesehatan Bank Dengan Menggunakan Metode CAMEL,” </w:t>
      </w:r>
      <w:r w:rsidRPr="008A359D">
        <w:rPr>
          <w:i/>
          <w:iCs/>
          <w:noProof/>
          <w:sz w:val="20"/>
        </w:rPr>
        <w:t>UMMagelang Conf. Ser.</w:t>
      </w:r>
      <w:r w:rsidRPr="008A359D">
        <w:rPr>
          <w:noProof/>
          <w:sz w:val="20"/>
        </w:rPr>
        <w:t>, vol. 2, no. 1, pp. 432–447, 2020.</w:t>
      </w:r>
    </w:p>
    <w:p w:rsidR="00816C00" w:rsidRPr="008A359D" w:rsidRDefault="00816C00" w:rsidP="00816C00">
      <w:pPr>
        <w:widowControl w:val="0"/>
        <w:autoSpaceDE w:val="0"/>
        <w:autoSpaceDN w:val="0"/>
        <w:adjustRightInd w:val="0"/>
        <w:ind w:left="640" w:hanging="640"/>
        <w:rPr>
          <w:noProof/>
          <w:sz w:val="20"/>
        </w:rPr>
      </w:pPr>
      <w:r w:rsidRPr="008A359D">
        <w:rPr>
          <w:noProof/>
          <w:sz w:val="20"/>
        </w:rPr>
        <w:t>[15]</w:t>
      </w:r>
      <w:r w:rsidRPr="008A359D">
        <w:rPr>
          <w:noProof/>
          <w:sz w:val="20"/>
        </w:rPr>
        <w:tab/>
        <w:t xml:space="preserve">S. Pujaraniam, S. Hermuningsih, and A. D. Cahya, “Analisa Perbandingan Kesehatan Bank Menggunakan Metode Camels,” </w:t>
      </w:r>
      <w:r w:rsidRPr="008A359D">
        <w:rPr>
          <w:i/>
          <w:iCs/>
          <w:noProof/>
          <w:sz w:val="20"/>
        </w:rPr>
        <w:t>Jesya (Jurnal Ekon. Ekon. Syariah)</w:t>
      </w:r>
      <w:r w:rsidRPr="008A359D">
        <w:rPr>
          <w:noProof/>
          <w:sz w:val="20"/>
        </w:rPr>
        <w:t>, vol. 4, no. 2, pp. 764–774, 2021, doi: 10.36778/jesya.v4i2.391.</w:t>
      </w:r>
    </w:p>
    <w:p w:rsidR="00816C00" w:rsidRPr="008A359D" w:rsidRDefault="00816C00" w:rsidP="00816C00">
      <w:pPr>
        <w:widowControl w:val="0"/>
        <w:autoSpaceDE w:val="0"/>
        <w:autoSpaceDN w:val="0"/>
        <w:adjustRightInd w:val="0"/>
        <w:ind w:left="640" w:hanging="640"/>
        <w:rPr>
          <w:noProof/>
          <w:sz w:val="20"/>
        </w:rPr>
      </w:pPr>
      <w:r w:rsidRPr="008A359D">
        <w:rPr>
          <w:noProof/>
          <w:sz w:val="20"/>
        </w:rPr>
        <w:t>[16]</w:t>
      </w:r>
      <w:r w:rsidRPr="008A359D">
        <w:rPr>
          <w:noProof/>
          <w:sz w:val="20"/>
        </w:rPr>
        <w:tab/>
        <w:t xml:space="preserve">W. D. Ardiyanti, J. Ta’nak, A. L. Matasik, and R. Tangdialla, “Analisis Penilaian Tingkat Kesehatan Bank dengan Menggunakan Metode CAMEL (Studi Kasus pada PT Bank Raya Indonesia Tbk),” </w:t>
      </w:r>
      <w:r w:rsidRPr="008A359D">
        <w:rPr>
          <w:i/>
          <w:iCs/>
          <w:noProof/>
          <w:sz w:val="20"/>
        </w:rPr>
        <w:t>J. Pendidik. Tambusai</w:t>
      </w:r>
      <w:r w:rsidRPr="008A359D">
        <w:rPr>
          <w:noProof/>
          <w:sz w:val="20"/>
        </w:rPr>
        <w:t>, vol. 7, no. 2, pp. 5748–5767, 2023.</w:t>
      </w:r>
    </w:p>
    <w:p w:rsidR="00816C00" w:rsidRPr="008A359D" w:rsidRDefault="00816C00" w:rsidP="00816C00">
      <w:pPr>
        <w:widowControl w:val="0"/>
        <w:autoSpaceDE w:val="0"/>
        <w:autoSpaceDN w:val="0"/>
        <w:adjustRightInd w:val="0"/>
        <w:ind w:left="640" w:hanging="640"/>
        <w:rPr>
          <w:noProof/>
          <w:sz w:val="20"/>
        </w:rPr>
      </w:pPr>
      <w:r w:rsidRPr="008A359D">
        <w:rPr>
          <w:noProof/>
          <w:sz w:val="20"/>
        </w:rPr>
        <w:t>[17]</w:t>
      </w:r>
      <w:r w:rsidRPr="008A359D">
        <w:rPr>
          <w:noProof/>
          <w:sz w:val="20"/>
        </w:rPr>
        <w:tab/>
        <w:t xml:space="preserve">S. Budiastuti, S. Hartati, and Suseno, “AmaNU : Jurnal Manajemen dan Ekonomi AmaNU : Jurnal Manajemen dan Ekonomi AmaNU : Jurnal Manajemen dan Ekonomi AmaNU : Jurnal Manajemen dan Ekonomi,” </w:t>
      </w:r>
      <w:r w:rsidRPr="008A359D">
        <w:rPr>
          <w:i/>
          <w:iCs/>
          <w:noProof/>
          <w:sz w:val="20"/>
        </w:rPr>
        <w:t>AmaNU  J. Manaj. dan Ekon. Suwono</w:t>
      </w:r>
      <w:r w:rsidRPr="008A359D">
        <w:rPr>
          <w:noProof/>
          <w:sz w:val="20"/>
        </w:rPr>
        <w:t>, vol. 5, no. 1, pp. 56–70, 2022.</w:t>
      </w:r>
    </w:p>
    <w:p w:rsidR="00816C00" w:rsidRPr="008A359D" w:rsidRDefault="00816C00" w:rsidP="00816C00">
      <w:pPr>
        <w:widowControl w:val="0"/>
        <w:autoSpaceDE w:val="0"/>
        <w:autoSpaceDN w:val="0"/>
        <w:adjustRightInd w:val="0"/>
        <w:ind w:left="640" w:hanging="640"/>
        <w:rPr>
          <w:noProof/>
          <w:sz w:val="20"/>
        </w:rPr>
      </w:pPr>
      <w:r w:rsidRPr="008A359D">
        <w:rPr>
          <w:noProof/>
          <w:sz w:val="20"/>
        </w:rPr>
        <w:t>[18]</w:t>
      </w:r>
      <w:r w:rsidRPr="008A359D">
        <w:rPr>
          <w:noProof/>
          <w:sz w:val="20"/>
        </w:rPr>
        <w:tab/>
        <w:t xml:space="preserve">W. S. Andriasari and S. U. Munawaroh, “Analisis Rasio CAMEL (Capital, Asset, Management, Earnings, Equity dan Liquidity) pada Tingkat Kesehatan Bank (Studi Kasus BRI Syariah Periode 2018-2019),” </w:t>
      </w:r>
      <w:r w:rsidRPr="008A359D">
        <w:rPr>
          <w:i/>
          <w:iCs/>
          <w:noProof/>
          <w:sz w:val="20"/>
        </w:rPr>
        <w:t>BISNIS  J. Bisnis dan Manaj. Islam</w:t>
      </w:r>
      <w:r w:rsidRPr="008A359D">
        <w:rPr>
          <w:noProof/>
          <w:sz w:val="20"/>
        </w:rPr>
        <w:t>, vol. 8, no. 2, p. 237, 2020, doi: 10.21043/bisnis.v8i2.8795.</w:t>
      </w:r>
    </w:p>
    <w:p w:rsidR="00816C00" w:rsidRPr="008A359D" w:rsidRDefault="00816C00" w:rsidP="00816C00">
      <w:pPr>
        <w:widowControl w:val="0"/>
        <w:autoSpaceDE w:val="0"/>
        <w:autoSpaceDN w:val="0"/>
        <w:adjustRightInd w:val="0"/>
        <w:ind w:left="640" w:hanging="640"/>
        <w:rPr>
          <w:noProof/>
          <w:sz w:val="20"/>
        </w:rPr>
      </w:pPr>
      <w:r w:rsidRPr="008A359D">
        <w:rPr>
          <w:noProof/>
          <w:sz w:val="20"/>
        </w:rPr>
        <w:t>[19]</w:t>
      </w:r>
      <w:r w:rsidRPr="008A359D">
        <w:rPr>
          <w:noProof/>
          <w:sz w:val="20"/>
        </w:rPr>
        <w:tab/>
        <w:t xml:space="preserve">R. Novitasari and A. Yuliati, “Analisis CAMEL untuk menilai tingkat kesehatan perusahaan perbankan yang terdaftar di Bursa Efek Indonesia,” </w:t>
      </w:r>
      <w:r w:rsidRPr="008A359D">
        <w:rPr>
          <w:i/>
          <w:iCs/>
          <w:noProof/>
          <w:sz w:val="20"/>
        </w:rPr>
        <w:t>Fair Value J. Ilm. Akunt. dan Keuang.</w:t>
      </w:r>
      <w:r w:rsidRPr="008A359D">
        <w:rPr>
          <w:noProof/>
          <w:sz w:val="20"/>
        </w:rPr>
        <w:t>, vol. 5, no. 3, pp. 1656–1666, 2022, doi: 10.32670/fairvalue.v5i3.2462.</w:t>
      </w:r>
    </w:p>
    <w:p w:rsidR="00816C00" w:rsidRPr="008A359D" w:rsidRDefault="00816C00" w:rsidP="00816C00">
      <w:pPr>
        <w:widowControl w:val="0"/>
        <w:autoSpaceDE w:val="0"/>
        <w:autoSpaceDN w:val="0"/>
        <w:adjustRightInd w:val="0"/>
        <w:ind w:left="640" w:hanging="640"/>
        <w:rPr>
          <w:noProof/>
          <w:sz w:val="20"/>
        </w:rPr>
      </w:pPr>
      <w:r w:rsidRPr="008A359D">
        <w:rPr>
          <w:noProof/>
          <w:sz w:val="20"/>
        </w:rPr>
        <w:t>[20]</w:t>
      </w:r>
      <w:r w:rsidRPr="008A359D">
        <w:rPr>
          <w:noProof/>
          <w:sz w:val="20"/>
        </w:rPr>
        <w:tab/>
        <w:t xml:space="preserve">M. I. S. Pratikto and N. N. Rahmawati, “Analisis Tingkat Kesehatan Laporan Keuangan pada PT Bank Syariah Mandiri Tbk. dengan Metode CAMEL Periode 2016 – 2020,” </w:t>
      </w:r>
      <w:r w:rsidRPr="008A359D">
        <w:rPr>
          <w:i/>
          <w:iCs/>
          <w:noProof/>
          <w:sz w:val="20"/>
        </w:rPr>
        <w:t>OECONOMICUS J. Econ.</w:t>
      </w:r>
      <w:r w:rsidRPr="008A359D">
        <w:rPr>
          <w:noProof/>
          <w:sz w:val="20"/>
        </w:rPr>
        <w:t>, vol. 6, no. 1, pp. 29–37, 2021, doi: 10.15642/oje.2021.6.1.29-37.</w:t>
      </w:r>
    </w:p>
    <w:p w:rsidR="00816C00" w:rsidRPr="008A359D" w:rsidRDefault="00816C00" w:rsidP="00816C00">
      <w:pPr>
        <w:widowControl w:val="0"/>
        <w:autoSpaceDE w:val="0"/>
        <w:autoSpaceDN w:val="0"/>
        <w:adjustRightInd w:val="0"/>
        <w:ind w:left="640" w:hanging="640"/>
        <w:rPr>
          <w:noProof/>
          <w:sz w:val="20"/>
        </w:rPr>
      </w:pPr>
      <w:r w:rsidRPr="008A359D">
        <w:rPr>
          <w:noProof/>
          <w:sz w:val="20"/>
        </w:rPr>
        <w:t>[21]</w:t>
      </w:r>
      <w:r w:rsidRPr="008A359D">
        <w:rPr>
          <w:noProof/>
          <w:sz w:val="20"/>
        </w:rPr>
        <w:tab/>
        <w:t xml:space="preserve">D. I. Pt, P. Dubai, S. Bank, and T. R. Murtadho, “Rizky Ridwansyah Perbankan Syariah, Universitas Al Ma’ </w:t>
      </w:r>
      <w:r w:rsidRPr="008A359D">
        <w:rPr>
          <w:noProof/>
          <w:sz w:val="20"/>
        </w:rPr>
        <w:lastRenderedPageBreak/>
        <w:t>Soem,” 2020.</w:t>
      </w:r>
    </w:p>
    <w:p w:rsidR="00816C00" w:rsidRPr="008A359D" w:rsidRDefault="00816C00" w:rsidP="00816C00">
      <w:pPr>
        <w:widowControl w:val="0"/>
        <w:autoSpaceDE w:val="0"/>
        <w:autoSpaceDN w:val="0"/>
        <w:adjustRightInd w:val="0"/>
        <w:ind w:left="640" w:hanging="640"/>
        <w:rPr>
          <w:noProof/>
          <w:sz w:val="20"/>
        </w:rPr>
      </w:pPr>
      <w:r w:rsidRPr="008A359D">
        <w:rPr>
          <w:noProof/>
          <w:sz w:val="20"/>
        </w:rPr>
        <w:t>[22]</w:t>
      </w:r>
      <w:r w:rsidRPr="008A359D">
        <w:rPr>
          <w:noProof/>
          <w:sz w:val="20"/>
        </w:rPr>
        <w:tab/>
        <w:t xml:space="preserve">A. C. Anggraeni, B. Alkaosar, and R. Resanda, “Implementasi Metode CAMEL : Analisis Perbandingan Kesehatan Bank Periode Tahun 2014-2016,” </w:t>
      </w:r>
      <w:r w:rsidRPr="008A359D">
        <w:rPr>
          <w:i/>
          <w:iCs/>
          <w:noProof/>
          <w:sz w:val="20"/>
        </w:rPr>
        <w:t>J. Ris. Bisnis, Manajemen, dan Ilmu Ekon.</w:t>
      </w:r>
      <w:r w:rsidRPr="008A359D">
        <w:rPr>
          <w:noProof/>
          <w:sz w:val="20"/>
        </w:rPr>
        <w:t>, vol. 1, no. 1, pp. 8–18, 2024.</w:t>
      </w:r>
    </w:p>
    <w:p w:rsidR="00816C00" w:rsidRPr="008A359D" w:rsidRDefault="00816C00" w:rsidP="00816C00">
      <w:pPr>
        <w:widowControl w:val="0"/>
        <w:autoSpaceDE w:val="0"/>
        <w:autoSpaceDN w:val="0"/>
        <w:adjustRightInd w:val="0"/>
        <w:ind w:left="640" w:hanging="640"/>
        <w:rPr>
          <w:noProof/>
          <w:sz w:val="20"/>
        </w:rPr>
      </w:pPr>
      <w:r w:rsidRPr="008A359D">
        <w:rPr>
          <w:noProof/>
          <w:sz w:val="20"/>
        </w:rPr>
        <w:t>[23]</w:t>
      </w:r>
      <w:r w:rsidRPr="008A359D">
        <w:rPr>
          <w:noProof/>
          <w:sz w:val="20"/>
        </w:rPr>
        <w:tab/>
        <w:t xml:space="preserve">Y. Purnama, “Analisis Penilaian Tingkat Kesehatan Pada Bank Central Asia (BCA) Syariah Berdasarkan Metode Camel (Studi Kasus Pada PT Bank BCA Syariah Periode 2015-2019),” </w:t>
      </w:r>
      <w:r w:rsidRPr="008A359D">
        <w:rPr>
          <w:i/>
          <w:iCs/>
          <w:noProof/>
          <w:sz w:val="20"/>
        </w:rPr>
        <w:t>EKSISBANK Ekon. Syariah dan Bisnis Perbank.</w:t>
      </w:r>
      <w:r w:rsidRPr="008A359D">
        <w:rPr>
          <w:noProof/>
          <w:sz w:val="20"/>
        </w:rPr>
        <w:t>, vol. 6, no. 1, pp. 90–108, 2022, doi: 10.37726/ee.v6i1.408.</w:t>
      </w:r>
    </w:p>
    <w:p w:rsidR="00816C00" w:rsidRPr="008A359D" w:rsidRDefault="00816C00" w:rsidP="00816C00">
      <w:pPr>
        <w:widowControl w:val="0"/>
        <w:autoSpaceDE w:val="0"/>
        <w:autoSpaceDN w:val="0"/>
        <w:adjustRightInd w:val="0"/>
        <w:ind w:left="640" w:hanging="640"/>
        <w:rPr>
          <w:noProof/>
          <w:sz w:val="20"/>
        </w:rPr>
      </w:pPr>
      <w:r w:rsidRPr="008A359D">
        <w:rPr>
          <w:noProof/>
          <w:sz w:val="20"/>
        </w:rPr>
        <w:t>[24]</w:t>
      </w:r>
      <w:r w:rsidRPr="008A359D">
        <w:rPr>
          <w:noProof/>
          <w:sz w:val="20"/>
        </w:rPr>
        <w:tab/>
        <w:t xml:space="preserve">Agustin Tri Lestari, “Pengaruh Financing To Deposit Ratio (Fdr) Terhadap Return on Asset (Roa) Pada Bank Syariah Anak Perusahaan Bumn Di Indonesia Periode 2011-2019,” </w:t>
      </w:r>
      <w:r w:rsidRPr="008A359D">
        <w:rPr>
          <w:i/>
          <w:iCs/>
          <w:noProof/>
          <w:sz w:val="20"/>
        </w:rPr>
        <w:t>Wadiah</w:t>
      </w:r>
      <w:r w:rsidRPr="008A359D">
        <w:rPr>
          <w:noProof/>
          <w:sz w:val="20"/>
        </w:rPr>
        <w:t>, vol. 5, no. 1, pp. 34–60, 2021, doi: 10.30762/wadiah.v5i1.3176.</w:t>
      </w:r>
    </w:p>
    <w:p w:rsidR="00816C00" w:rsidRPr="008A359D" w:rsidRDefault="00816C00" w:rsidP="00816C00">
      <w:pPr>
        <w:widowControl w:val="0"/>
        <w:autoSpaceDE w:val="0"/>
        <w:autoSpaceDN w:val="0"/>
        <w:adjustRightInd w:val="0"/>
        <w:ind w:left="640" w:hanging="640"/>
        <w:rPr>
          <w:noProof/>
          <w:sz w:val="20"/>
        </w:rPr>
      </w:pPr>
      <w:r w:rsidRPr="008A359D">
        <w:rPr>
          <w:noProof/>
          <w:sz w:val="20"/>
        </w:rPr>
        <w:t>[25]</w:t>
      </w:r>
      <w:r w:rsidRPr="008A359D">
        <w:rPr>
          <w:noProof/>
          <w:sz w:val="20"/>
        </w:rPr>
        <w:tab/>
        <w:t xml:space="preserve">R. Alamia and K. Asmara, “Analisis perbedaan kinerja keuangan bank sebelum dan selama pandemi covid- 19 dengan pendekatan CAMEL Analysis of differences in bank financial performance before and during the covid- 19 pandemic using the CAMEL approach,” </w:t>
      </w:r>
      <w:r w:rsidRPr="008A359D">
        <w:rPr>
          <w:i/>
          <w:iCs/>
          <w:noProof/>
          <w:sz w:val="20"/>
        </w:rPr>
        <w:t>KINERJA J. Ekon. dan Manaj.</w:t>
      </w:r>
      <w:r w:rsidRPr="008A359D">
        <w:rPr>
          <w:noProof/>
          <w:sz w:val="20"/>
        </w:rPr>
        <w:t>, vol. 19, no. 4, pp. 869–876, 2022, [Online]. Available: 1907-3011</w:t>
      </w:r>
    </w:p>
    <w:p w:rsidR="00816C00" w:rsidRPr="008A359D" w:rsidRDefault="00816C00" w:rsidP="00816C00">
      <w:pPr>
        <w:widowControl w:val="0"/>
        <w:autoSpaceDE w:val="0"/>
        <w:autoSpaceDN w:val="0"/>
        <w:adjustRightInd w:val="0"/>
        <w:ind w:left="640" w:hanging="640"/>
        <w:rPr>
          <w:noProof/>
          <w:sz w:val="20"/>
        </w:rPr>
      </w:pPr>
      <w:r w:rsidRPr="008A359D">
        <w:rPr>
          <w:noProof/>
          <w:sz w:val="20"/>
        </w:rPr>
        <w:t>[26]</w:t>
      </w:r>
      <w:r w:rsidRPr="008A359D">
        <w:rPr>
          <w:noProof/>
          <w:sz w:val="20"/>
        </w:rPr>
        <w:tab/>
        <w:t>D. Economic and Social Affairs, “Sustainable Development Goals,” sdgs.un.org. [Online]. Available: https://sdgs.un.org/goals</w:t>
      </w:r>
    </w:p>
    <w:p w:rsidR="00816C00" w:rsidRPr="008A359D" w:rsidRDefault="00816C00" w:rsidP="00816C00">
      <w:pPr>
        <w:widowControl w:val="0"/>
        <w:autoSpaceDE w:val="0"/>
        <w:autoSpaceDN w:val="0"/>
        <w:adjustRightInd w:val="0"/>
        <w:ind w:left="640" w:hanging="640"/>
        <w:rPr>
          <w:noProof/>
          <w:sz w:val="20"/>
        </w:rPr>
      </w:pPr>
      <w:r w:rsidRPr="008A359D">
        <w:rPr>
          <w:noProof/>
          <w:sz w:val="20"/>
        </w:rPr>
        <w:t>[27]</w:t>
      </w:r>
      <w:r w:rsidRPr="008A359D">
        <w:rPr>
          <w:noProof/>
          <w:sz w:val="20"/>
        </w:rPr>
        <w:tab/>
        <w:t xml:space="preserve">T.M. Rizki, “ANALISIS TINGKAT KESEHATAN BANK MENGGUNAKAN METODE CAMEL (STUDI PADA PT. BANK MUAMALAT INDONESIA Tbk TAHUN 2016-2019),” </w:t>
      </w:r>
      <w:r w:rsidRPr="008A359D">
        <w:rPr>
          <w:i/>
          <w:iCs/>
          <w:noProof/>
          <w:sz w:val="20"/>
        </w:rPr>
        <w:t>Progr. Stud. Perbank. Syariah Fak. Ekon. Dan Bisnis Islam Univ. Islam Negeri Ar-Raniry Banda Aceh 2020 M/ 1442 H</w:t>
      </w:r>
      <w:r w:rsidRPr="008A359D">
        <w:rPr>
          <w:noProof/>
          <w:sz w:val="20"/>
        </w:rPr>
        <w:t>, vol. 21, no. 1, pp. 1–9, 2020.</w:t>
      </w:r>
    </w:p>
    <w:p w:rsidR="00816C00" w:rsidRPr="008A359D" w:rsidRDefault="00816C00" w:rsidP="00816C00">
      <w:pPr>
        <w:widowControl w:val="0"/>
        <w:autoSpaceDE w:val="0"/>
        <w:autoSpaceDN w:val="0"/>
        <w:adjustRightInd w:val="0"/>
        <w:ind w:left="640" w:hanging="640"/>
        <w:rPr>
          <w:noProof/>
          <w:sz w:val="20"/>
        </w:rPr>
      </w:pPr>
      <w:r w:rsidRPr="008A359D">
        <w:rPr>
          <w:noProof/>
          <w:sz w:val="20"/>
        </w:rPr>
        <w:t>[28]</w:t>
      </w:r>
      <w:r w:rsidRPr="008A359D">
        <w:rPr>
          <w:noProof/>
          <w:sz w:val="20"/>
        </w:rPr>
        <w:tab/>
        <w:t xml:space="preserve">R.-D. Hilgers, N. Heussen, and S. Stanzel, </w:t>
      </w:r>
      <w:r w:rsidRPr="008A359D">
        <w:rPr>
          <w:i/>
          <w:iCs/>
          <w:noProof/>
          <w:sz w:val="20"/>
        </w:rPr>
        <w:t>Statistik, deskriptive</w:t>
      </w:r>
      <w:r w:rsidRPr="008A359D">
        <w:rPr>
          <w:noProof/>
          <w:sz w:val="20"/>
        </w:rPr>
        <w:t>, no. 1. 2019. doi: 10.1007/978-3-662-48986-4_2900.</w:t>
      </w:r>
    </w:p>
    <w:p w:rsidR="00816C00" w:rsidRPr="008A359D" w:rsidRDefault="00816C00" w:rsidP="00816C00">
      <w:pPr>
        <w:widowControl w:val="0"/>
        <w:autoSpaceDE w:val="0"/>
        <w:autoSpaceDN w:val="0"/>
        <w:adjustRightInd w:val="0"/>
        <w:ind w:left="640" w:hanging="640"/>
        <w:rPr>
          <w:noProof/>
          <w:sz w:val="20"/>
        </w:rPr>
      </w:pPr>
      <w:r w:rsidRPr="008A359D">
        <w:rPr>
          <w:noProof/>
          <w:sz w:val="20"/>
        </w:rPr>
        <w:t>[29]</w:t>
      </w:r>
      <w:r w:rsidRPr="008A359D">
        <w:rPr>
          <w:noProof/>
          <w:sz w:val="20"/>
        </w:rPr>
        <w:tab/>
        <w:t xml:space="preserve">M. N. Malay, </w:t>
      </w:r>
      <w:r w:rsidRPr="008A359D">
        <w:rPr>
          <w:i/>
          <w:iCs/>
          <w:noProof/>
          <w:sz w:val="20"/>
        </w:rPr>
        <w:t>Belajar Mudah &amp; Praktis Analisis Data Stastistik dan JAPS</w:t>
      </w:r>
      <w:r w:rsidRPr="008A359D">
        <w:rPr>
          <w:noProof/>
          <w:sz w:val="20"/>
        </w:rPr>
        <w:t>. 2022.</w:t>
      </w:r>
    </w:p>
    <w:p w:rsidR="00816C00" w:rsidRPr="008A359D" w:rsidRDefault="00816C00" w:rsidP="00816C00">
      <w:pPr>
        <w:widowControl w:val="0"/>
        <w:autoSpaceDE w:val="0"/>
        <w:autoSpaceDN w:val="0"/>
        <w:adjustRightInd w:val="0"/>
        <w:ind w:left="640" w:hanging="640"/>
        <w:rPr>
          <w:noProof/>
          <w:sz w:val="20"/>
        </w:rPr>
      </w:pPr>
      <w:r w:rsidRPr="008A359D">
        <w:rPr>
          <w:noProof/>
          <w:sz w:val="20"/>
        </w:rPr>
        <w:t>[30]</w:t>
      </w:r>
      <w:r w:rsidRPr="008A359D">
        <w:rPr>
          <w:noProof/>
          <w:sz w:val="20"/>
        </w:rPr>
        <w:tab/>
        <w:t>S. Raharjo, “Cara Uji Normalitas Shapiro-Wilk dengan SPSS Lengkap,” SPSS Indonesia. Accessed: Jun. 06, 2024. [Online]. Available: https://www.spssindonesia.com/2015/05/cara-uji-normalitas-shapiro-wilk-dengan.html</w:t>
      </w:r>
    </w:p>
    <w:p w:rsidR="00816C00" w:rsidRPr="008A359D" w:rsidRDefault="00816C00" w:rsidP="00816C00">
      <w:pPr>
        <w:widowControl w:val="0"/>
        <w:autoSpaceDE w:val="0"/>
        <w:autoSpaceDN w:val="0"/>
        <w:adjustRightInd w:val="0"/>
        <w:ind w:left="640" w:hanging="640"/>
        <w:rPr>
          <w:noProof/>
          <w:sz w:val="20"/>
        </w:rPr>
      </w:pPr>
      <w:r w:rsidRPr="008A359D">
        <w:rPr>
          <w:noProof/>
          <w:sz w:val="20"/>
        </w:rPr>
        <w:t>[31]</w:t>
      </w:r>
      <w:r w:rsidRPr="008A359D">
        <w:rPr>
          <w:noProof/>
          <w:sz w:val="20"/>
        </w:rPr>
        <w:tab/>
        <w:t>S. Raharjo, “Cara Uji Paired Sample T-Test dan Interpretasi dengan SPSS,” SPSS Indonesia. Accessed: Jun. 06, 2024. [Online]. Available: https://www.spssindonesia.com/2016/08/cara-uji-paired-sample-t-test-dan.html</w:t>
      </w:r>
    </w:p>
    <w:p w:rsidR="00816C00" w:rsidRPr="008A359D" w:rsidRDefault="00816C00" w:rsidP="00816C00">
      <w:pPr>
        <w:widowControl w:val="0"/>
        <w:autoSpaceDE w:val="0"/>
        <w:autoSpaceDN w:val="0"/>
        <w:adjustRightInd w:val="0"/>
        <w:ind w:left="640" w:hanging="640"/>
        <w:rPr>
          <w:noProof/>
          <w:sz w:val="20"/>
        </w:rPr>
      </w:pPr>
      <w:r w:rsidRPr="008A359D">
        <w:rPr>
          <w:noProof/>
          <w:sz w:val="20"/>
        </w:rPr>
        <w:t>[32]</w:t>
      </w:r>
      <w:r w:rsidRPr="008A359D">
        <w:rPr>
          <w:noProof/>
          <w:sz w:val="20"/>
        </w:rPr>
        <w:tab/>
        <w:t>R. Binekasri, “Tok! BSI Bagi Dividen Rp 426 M,” CNBC Indonesia. Accessed: Aug. 09, 2024. [Online]. Available: https://www.cnbcindonesia.com/market/20230522172604-17-439561/tok-bsi-bagi-dividen-rp-426-m</w:t>
      </w:r>
    </w:p>
    <w:p w:rsidR="00816C00" w:rsidRPr="008A359D" w:rsidRDefault="00816C00" w:rsidP="00816C00">
      <w:pPr>
        <w:pBdr>
          <w:top w:val="nil"/>
          <w:left w:val="nil"/>
          <w:bottom w:val="nil"/>
          <w:right w:val="nil"/>
          <w:between w:val="nil"/>
        </w:pBdr>
        <w:ind w:left="432" w:hanging="432"/>
        <w:jc w:val="both"/>
        <w:rPr>
          <w:color w:val="000000"/>
          <w:sz w:val="20"/>
          <w:szCs w:val="20"/>
        </w:rPr>
      </w:pPr>
      <w:r w:rsidRPr="008A359D">
        <w:rPr>
          <w:color w:val="000000"/>
          <w:sz w:val="20"/>
          <w:szCs w:val="20"/>
        </w:rPr>
        <w:fldChar w:fldCharType="end"/>
      </w:r>
    </w:p>
    <w:p w:rsidR="00816C00" w:rsidRPr="008A359D" w:rsidRDefault="00816C00" w:rsidP="00816C00">
      <w:pPr>
        <w:pBdr>
          <w:top w:val="nil"/>
          <w:left w:val="nil"/>
          <w:bottom w:val="nil"/>
          <w:right w:val="nil"/>
          <w:between w:val="nil"/>
        </w:pBdr>
        <w:ind w:left="432" w:hanging="432"/>
        <w:jc w:val="both"/>
        <w:rPr>
          <w:color w:val="000000"/>
          <w:sz w:val="16"/>
          <w:szCs w:val="16"/>
        </w:rPr>
      </w:pPr>
    </w:p>
    <w:p w:rsidR="00816C00" w:rsidRPr="008A359D" w:rsidRDefault="00816C00" w:rsidP="00816C00">
      <w:pPr>
        <w:pBdr>
          <w:top w:val="nil"/>
          <w:left w:val="nil"/>
          <w:bottom w:val="nil"/>
          <w:right w:val="nil"/>
          <w:between w:val="nil"/>
        </w:pBdr>
        <w:ind w:left="432" w:hanging="432"/>
        <w:jc w:val="both"/>
        <w:rPr>
          <w:sz w:val="16"/>
          <w:szCs w:val="16"/>
        </w:rPr>
      </w:pPr>
      <w:r w:rsidRPr="008A359D">
        <w:rPr>
          <w:noProof/>
        </w:rPr>
        <mc:AlternateContent>
          <mc:Choice Requires="wps">
            <w:drawing>
              <wp:anchor distT="0" distB="0" distL="0" distR="0" simplePos="0" relativeHeight="251659264" behindDoc="1" locked="0" layoutInCell="1" hidden="0" allowOverlap="1" wp14:anchorId="1E87FCB4" wp14:editId="61F6363E">
                <wp:simplePos x="0" y="0"/>
                <wp:positionH relativeFrom="column">
                  <wp:posOffset>0</wp:posOffset>
                </wp:positionH>
                <wp:positionV relativeFrom="paragraph">
                  <wp:posOffset>88900</wp:posOffset>
                </wp:positionV>
                <wp:extent cx="5943600" cy="588645"/>
                <wp:effectExtent l="0" t="0" r="0" b="0"/>
                <wp:wrapNone/>
                <wp:docPr id="7" name="Rectangle 7"/>
                <wp:cNvGraphicFramePr/>
                <a:graphic xmlns:a="http://schemas.openxmlformats.org/drawingml/2006/main">
                  <a:graphicData uri="http://schemas.microsoft.com/office/word/2010/wordprocessingShape">
                    <wps:wsp>
                      <wps:cNvSpPr/>
                      <wps:spPr>
                        <a:xfrm>
                          <a:off x="2378963" y="3490440"/>
                          <a:ext cx="5934075" cy="5791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16C00" w:rsidRDefault="00816C00" w:rsidP="00816C00">
                            <w:pPr>
                              <w:ind w:left="432"/>
                              <w:jc w:val="both"/>
                              <w:textDirection w:val="btLr"/>
                            </w:pPr>
                            <w:r>
                              <w:rPr>
                                <w:rFonts w:ascii="Calibri" w:eastAsia="Calibri" w:hAnsi="Calibri" w:cs="Calibri"/>
                                <w:b/>
                                <w:i/>
                                <w:color w:val="000000"/>
                                <w:sz w:val="20"/>
                              </w:rPr>
                              <w:t>Conﬂict of Interest Statement:</w:t>
                            </w:r>
                          </w:p>
                          <w:p w:rsidR="00816C00" w:rsidRDefault="00816C00" w:rsidP="00816C00">
                            <w:pPr>
                              <w:ind w:left="432"/>
                              <w:jc w:val="both"/>
                              <w:textDirection w:val="btLr"/>
                            </w:pPr>
                            <w:r>
                              <w:rPr>
                                <w:rFonts w:ascii="Calibri" w:eastAsia="Calibri" w:hAnsi="Calibri" w:cs="Calibri"/>
                                <w:i/>
                                <w:color w:val="000000"/>
                                <w:sz w:val="20"/>
                              </w:rPr>
                              <w:t>The author declares that the research was conducted in the absence of any commercial or ﬁnancial relationships that could be construed as a potential conﬂict of interest.</w:t>
                            </w:r>
                          </w:p>
                          <w:p w:rsidR="00816C00" w:rsidRDefault="00816C00" w:rsidP="00816C00">
                            <w:pPr>
                              <w:ind w:left="432"/>
                              <w:jc w:val="both"/>
                              <w:textDirection w:val="btLr"/>
                            </w:pPr>
                            <w:r>
                              <w:rPr>
                                <w:rFonts w:ascii="Calibri" w:eastAsia="Calibri" w:hAnsi="Calibri" w:cs="Calibri"/>
                                <w:i/>
                                <w:color w:val="000000"/>
                                <w:sz w:val="20"/>
                              </w:rPr>
                              <w:t xml:space="preserve"> </w:t>
                            </w:r>
                          </w:p>
                        </w:txbxContent>
                      </wps:txbx>
                      <wps:bodyPr spcFirstLastPara="1" wrap="square" lIns="91425" tIns="45700" rIns="91425" bIns="45700" anchor="t" anchorCtr="0">
                        <a:noAutofit/>
                      </wps:bodyPr>
                    </wps:wsp>
                  </a:graphicData>
                </a:graphic>
              </wp:anchor>
            </w:drawing>
          </mc:Choice>
          <mc:Fallback>
            <w:pict>
              <v:rect w14:anchorId="1E87FCB4" id="Rectangle 7" o:spid="_x0000_s1040" style="position:absolute;left:0;text-align:left;margin-left:0;margin-top:7pt;width:468pt;height:46.3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">
                <v:stroke startarrowwidth="narrow" startarrowlength="short" endarrowwidth="narrow" endarrowlength="short"/>
                <v:textbox inset="2.53958mm,1.2694mm,2.53958mm,1.2694mm">
                  <w:txbxContent>
                    <w:p w:rsidR="00816C00" w:rsidRDefault="00816C00" w:rsidP="00816C00">
                      <w:pPr>
                        <w:ind w:left="432"/>
                        <w:jc w:val="both"/>
                        <w:textDirection w:val="btLr"/>
                      </w:pPr>
                      <w:r>
                        <w:rPr>
                          <w:rFonts w:ascii="Calibri" w:eastAsia="Calibri" w:hAnsi="Calibri" w:cs="Calibri"/>
                          <w:b/>
                          <w:i/>
                          <w:color w:val="000000"/>
                          <w:sz w:val="20"/>
                        </w:rPr>
                        <w:t xml:space="preserve">Conﬂict </w:t>
                      </w:r>
                      <w:r>
                        <w:rPr>
                          <w:rFonts w:ascii="Calibri" w:eastAsia="Calibri" w:hAnsi="Calibri" w:cs="Calibri"/>
                          <w:b/>
                          <w:i/>
                          <w:color w:val="000000"/>
                          <w:sz w:val="20"/>
                        </w:rPr>
                        <w:t>of Interest Statement:</w:t>
                      </w:r>
                    </w:p>
                    <w:p w:rsidR="00816C00" w:rsidRDefault="00816C00" w:rsidP="00816C00">
                      <w:pPr>
                        <w:ind w:left="432"/>
                        <w:jc w:val="both"/>
                        <w:textDirection w:val="btLr"/>
                      </w:pPr>
                      <w:r>
                        <w:rPr>
                          <w:rFonts w:ascii="Calibri" w:eastAsia="Calibri" w:hAnsi="Calibri" w:cs="Calibri"/>
                          <w:i/>
                          <w:color w:val="000000"/>
                          <w:sz w:val="20"/>
                        </w:rPr>
                        <w:t>The author declares that the research was conducted in the absence of any commercial or ﬁnancial relationships that could be construed as a potential conﬂict of interest.</w:t>
                      </w:r>
                    </w:p>
                    <w:p w:rsidR="00816C00" w:rsidRDefault="00816C00" w:rsidP="00816C00">
                      <w:pPr>
                        <w:ind w:left="432"/>
                        <w:jc w:val="both"/>
                        <w:textDirection w:val="btLr"/>
                      </w:pPr>
                      <w:r>
                        <w:rPr>
                          <w:rFonts w:ascii="Calibri" w:eastAsia="Calibri" w:hAnsi="Calibri" w:cs="Calibri"/>
                          <w:i/>
                          <w:color w:val="000000"/>
                          <w:sz w:val="20"/>
                        </w:rPr>
                        <w:t xml:space="preserve"> </w:t>
                      </w:r>
                    </w:p>
                  </w:txbxContent>
                </v:textbox>
              </v:rect>
            </w:pict>
          </mc:Fallback>
        </mc:AlternateContent>
      </w:r>
    </w:p>
    <w:p w:rsidR="00816C00" w:rsidRDefault="00816C00" w:rsidP="00816C00">
      <w:pPr>
        <w:pBdr>
          <w:top w:val="nil"/>
          <w:left w:val="nil"/>
          <w:bottom w:val="nil"/>
          <w:right w:val="nil"/>
          <w:between w:val="nil"/>
        </w:pBdr>
        <w:ind w:left="432" w:hanging="432"/>
        <w:jc w:val="both"/>
        <w:rPr>
          <w:color w:val="000000"/>
          <w:sz w:val="20"/>
          <w:szCs w:val="20"/>
        </w:rPr>
      </w:pPr>
    </w:p>
    <w:p w:rsidR="00816C00" w:rsidRDefault="00816C00" w:rsidP="00816C00">
      <w:pPr>
        <w:pBdr>
          <w:top w:val="nil"/>
          <w:left w:val="nil"/>
          <w:bottom w:val="nil"/>
          <w:right w:val="nil"/>
          <w:between w:val="nil"/>
        </w:pBdr>
        <w:ind w:left="432" w:hanging="432"/>
        <w:jc w:val="both"/>
        <w:rPr>
          <w:color w:val="000000"/>
          <w:sz w:val="16"/>
          <w:szCs w:val="16"/>
        </w:rPr>
      </w:pPr>
    </w:p>
    <w:p w:rsidR="00816C00" w:rsidRDefault="00816C00" w:rsidP="00816C00">
      <w:pPr>
        <w:pBdr>
          <w:top w:val="nil"/>
          <w:left w:val="nil"/>
          <w:bottom w:val="nil"/>
          <w:right w:val="nil"/>
          <w:between w:val="nil"/>
        </w:pBdr>
        <w:ind w:left="432" w:hanging="432"/>
        <w:jc w:val="both"/>
        <w:rPr>
          <w:color w:val="000000"/>
          <w:sz w:val="16"/>
          <w:szCs w:val="16"/>
        </w:rPr>
      </w:pPr>
    </w:p>
    <w:p w:rsidR="00D55935" w:rsidRDefault="00D55935"/>
    <w:sectPr w:rsidR="00D55935" w:rsidSect="00816C00">
      <w:type w:val="continuous"/>
      <w:pgSz w:w="11906" w:h="16838"/>
      <w:pgMar w:top="1701" w:right="1134" w:bottom="1701" w:left="1412" w:header="11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067C9" w:rsidRDefault="004067C9" w:rsidP="00816C00">
      <w:r>
        <w:separator/>
      </w:r>
    </w:p>
  </w:endnote>
  <w:endnote w:type="continuationSeparator" w:id="0">
    <w:p w:rsidR="004067C9" w:rsidRDefault="004067C9" w:rsidP="0081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eeSans">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4358" w:rsidRDefault="00000000">
    <w:pPr>
      <w:pBdr>
        <w:top w:val="nil"/>
        <w:left w:val="nil"/>
        <w:bottom w:val="nil"/>
        <w:right w:val="nil"/>
        <w:between w:val="nil"/>
      </w:pBdr>
      <w:jc w:val="center"/>
      <w:rPr>
        <w:color w:val="000000"/>
        <w:sz w:val="14"/>
        <w:szCs w:val="14"/>
      </w:rPr>
    </w:pPr>
    <w:r>
      <w:rPr>
        <w:color w:val="000000"/>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4358" w:rsidRDefault="008A4358">
    <w:pPr>
      <w:pBdr>
        <w:top w:val="nil"/>
        <w:left w:val="nil"/>
        <w:bottom w:val="nil"/>
        <w:right w:val="nil"/>
        <w:between w:val="nil"/>
      </w:pBdr>
      <w:ind w:left="432" w:hanging="432"/>
      <w:jc w:val="center"/>
      <w:rPr>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4358" w:rsidRDefault="008A4358" w:rsidP="00816C00">
    <w:pPr>
      <w:ind w:left="432"/>
      <w:rPr>
        <w:rFonts w:ascii="Calibri" w:eastAsia="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067C9" w:rsidRDefault="004067C9" w:rsidP="00816C00">
      <w:r>
        <w:separator/>
      </w:r>
    </w:p>
  </w:footnote>
  <w:footnote w:type="continuationSeparator" w:id="0">
    <w:p w:rsidR="004067C9" w:rsidRDefault="004067C9" w:rsidP="00816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4358" w:rsidRDefault="00000000">
    <w:pPr>
      <w:pBdr>
        <w:top w:val="nil"/>
        <w:left w:val="nil"/>
        <w:bottom w:val="single" w:sz="4" w:space="1" w:color="D9D9D9"/>
        <w:right w:val="nil"/>
        <w:between w:val="nil"/>
      </w:pBdr>
      <w:tabs>
        <w:tab w:val="center" w:pos="4680"/>
        <w:tab w:val="right" w:pos="9360"/>
      </w:tabs>
      <w:rPr>
        <w:rFonts w:ascii="Calibri" w:eastAsia="Calibri" w:hAnsi="Calibri" w:cs="Calibri"/>
        <w:b/>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b/>
        <w:color w:val="000000"/>
      </w:rPr>
      <w:t xml:space="preserve"> | </w:t>
    </w:r>
    <w:r>
      <w:rPr>
        <w:rFonts w:ascii="Calibri" w:eastAsia="Calibri" w:hAnsi="Calibri" w:cs="Calibri"/>
        <w:color w:val="7F7F7F"/>
      </w:rPr>
      <w:t>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B3052"/>
    <w:multiLevelType w:val="hybridMultilevel"/>
    <w:tmpl w:val="D65659C4"/>
    <w:lvl w:ilvl="0" w:tplc="04210005">
      <w:start w:val="1"/>
      <w:numFmt w:val="bullet"/>
      <w:lvlText w:val=""/>
      <w:lvlJc w:val="left"/>
      <w:pPr>
        <w:ind w:left="1008" w:hanging="360"/>
      </w:pPr>
      <w:rPr>
        <w:rFonts w:ascii="Wingdings" w:hAnsi="Wingdings" w:hint="default"/>
      </w:rPr>
    </w:lvl>
    <w:lvl w:ilvl="1" w:tplc="04210003" w:tentative="1">
      <w:start w:val="1"/>
      <w:numFmt w:val="bullet"/>
      <w:lvlText w:val="o"/>
      <w:lvlJc w:val="left"/>
      <w:pPr>
        <w:ind w:left="1728" w:hanging="360"/>
      </w:pPr>
      <w:rPr>
        <w:rFonts w:ascii="Courier New" w:hAnsi="Courier New" w:cs="Courier New" w:hint="default"/>
      </w:rPr>
    </w:lvl>
    <w:lvl w:ilvl="2" w:tplc="04210005" w:tentative="1">
      <w:start w:val="1"/>
      <w:numFmt w:val="bullet"/>
      <w:lvlText w:val=""/>
      <w:lvlJc w:val="left"/>
      <w:pPr>
        <w:ind w:left="2448" w:hanging="360"/>
      </w:pPr>
      <w:rPr>
        <w:rFonts w:ascii="Wingdings" w:hAnsi="Wingdings" w:hint="default"/>
      </w:rPr>
    </w:lvl>
    <w:lvl w:ilvl="3" w:tplc="04210001" w:tentative="1">
      <w:start w:val="1"/>
      <w:numFmt w:val="bullet"/>
      <w:lvlText w:val=""/>
      <w:lvlJc w:val="left"/>
      <w:pPr>
        <w:ind w:left="3168" w:hanging="360"/>
      </w:pPr>
      <w:rPr>
        <w:rFonts w:ascii="Symbol" w:hAnsi="Symbol" w:hint="default"/>
      </w:rPr>
    </w:lvl>
    <w:lvl w:ilvl="4" w:tplc="04210003" w:tentative="1">
      <w:start w:val="1"/>
      <w:numFmt w:val="bullet"/>
      <w:lvlText w:val="o"/>
      <w:lvlJc w:val="left"/>
      <w:pPr>
        <w:ind w:left="3888" w:hanging="360"/>
      </w:pPr>
      <w:rPr>
        <w:rFonts w:ascii="Courier New" w:hAnsi="Courier New" w:cs="Courier New" w:hint="default"/>
      </w:rPr>
    </w:lvl>
    <w:lvl w:ilvl="5" w:tplc="04210005" w:tentative="1">
      <w:start w:val="1"/>
      <w:numFmt w:val="bullet"/>
      <w:lvlText w:val=""/>
      <w:lvlJc w:val="left"/>
      <w:pPr>
        <w:ind w:left="4608" w:hanging="360"/>
      </w:pPr>
      <w:rPr>
        <w:rFonts w:ascii="Wingdings" w:hAnsi="Wingdings" w:hint="default"/>
      </w:rPr>
    </w:lvl>
    <w:lvl w:ilvl="6" w:tplc="04210001" w:tentative="1">
      <w:start w:val="1"/>
      <w:numFmt w:val="bullet"/>
      <w:lvlText w:val=""/>
      <w:lvlJc w:val="left"/>
      <w:pPr>
        <w:ind w:left="5328" w:hanging="360"/>
      </w:pPr>
      <w:rPr>
        <w:rFonts w:ascii="Symbol" w:hAnsi="Symbol" w:hint="default"/>
      </w:rPr>
    </w:lvl>
    <w:lvl w:ilvl="7" w:tplc="04210003" w:tentative="1">
      <w:start w:val="1"/>
      <w:numFmt w:val="bullet"/>
      <w:lvlText w:val="o"/>
      <w:lvlJc w:val="left"/>
      <w:pPr>
        <w:ind w:left="6048" w:hanging="360"/>
      </w:pPr>
      <w:rPr>
        <w:rFonts w:ascii="Courier New" w:hAnsi="Courier New" w:cs="Courier New" w:hint="default"/>
      </w:rPr>
    </w:lvl>
    <w:lvl w:ilvl="8" w:tplc="04210005" w:tentative="1">
      <w:start w:val="1"/>
      <w:numFmt w:val="bullet"/>
      <w:lvlText w:val=""/>
      <w:lvlJc w:val="left"/>
      <w:pPr>
        <w:ind w:left="6768" w:hanging="360"/>
      </w:pPr>
      <w:rPr>
        <w:rFonts w:ascii="Wingdings" w:hAnsi="Wingdings" w:hint="default"/>
      </w:rPr>
    </w:lvl>
  </w:abstractNum>
  <w:abstractNum w:abstractNumId="1" w15:restartNumberingAfterBreak="0">
    <w:nsid w:val="1BCF7AE5"/>
    <w:multiLevelType w:val="hybridMultilevel"/>
    <w:tmpl w:val="D8026CE4"/>
    <w:lvl w:ilvl="0" w:tplc="04210005">
      <w:start w:val="1"/>
      <w:numFmt w:val="bullet"/>
      <w:lvlText w:val=""/>
      <w:lvlJc w:val="left"/>
      <w:pPr>
        <w:ind w:left="1008" w:hanging="360"/>
      </w:pPr>
      <w:rPr>
        <w:rFonts w:ascii="Wingdings" w:hAnsi="Wingdings" w:hint="default"/>
      </w:rPr>
    </w:lvl>
    <w:lvl w:ilvl="1" w:tplc="04210003" w:tentative="1">
      <w:start w:val="1"/>
      <w:numFmt w:val="bullet"/>
      <w:lvlText w:val="o"/>
      <w:lvlJc w:val="left"/>
      <w:pPr>
        <w:ind w:left="1728" w:hanging="360"/>
      </w:pPr>
      <w:rPr>
        <w:rFonts w:ascii="Courier New" w:hAnsi="Courier New" w:cs="Courier New" w:hint="default"/>
      </w:rPr>
    </w:lvl>
    <w:lvl w:ilvl="2" w:tplc="04210005" w:tentative="1">
      <w:start w:val="1"/>
      <w:numFmt w:val="bullet"/>
      <w:lvlText w:val=""/>
      <w:lvlJc w:val="left"/>
      <w:pPr>
        <w:ind w:left="2448" w:hanging="360"/>
      </w:pPr>
      <w:rPr>
        <w:rFonts w:ascii="Wingdings" w:hAnsi="Wingdings" w:hint="default"/>
      </w:rPr>
    </w:lvl>
    <w:lvl w:ilvl="3" w:tplc="04210001" w:tentative="1">
      <w:start w:val="1"/>
      <w:numFmt w:val="bullet"/>
      <w:lvlText w:val=""/>
      <w:lvlJc w:val="left"/>
      <w:pPr>
        <w:ind w:left="3168" w:hanging="360"/>
      </w:pPr>
      <w:rPr>
        <w:rFonts w:ascii="Symbol" w:hAnsi="Symbol" w:hint="default"/>
      </w:rPr>
    </w:lvl>
    <w:lvl w:ilvl="4" w:tplc="04210003" w:tentative="1">
      <w:start w:val="1"/>
      <w:numFmt w:val="bullet"/>
      <w:lvlText w:val="o"/>
      <w:lvlJc w:val="left"/>
      <w:pPr>
        <w:ind w:left="3888" w:hanging="360"/>
      </w:pPr>
      <w:rPr>
        <w:rFonts w:ascii="Courier New" w:hAnsi="Courier New" w:cs="Courier New" w:hint="default"/>
      </w:rPr>
    </w:lvl>
    <w:lvl w:ilvl="5" w:tplc="04210005" w:tentative="1">
      <w:start w:val="1"/>
      <w:numFmt w:val="bullet"/>
      <w:lvlText w:val=""/>
      <w:lvlJc w:val="left"/>
      <w:pPr>
        <w:ind w:left="4608" w:hanging="360"/>
      </w:pPr>
      <w:rPr>
        <w:rFonts w:ascii="Wingdings" w:hAnsi="Wingdings" w:hint="default"/>
      </w:rPr>
    </w:lvl>
    <w:lvl w:ilvl="6" w:tplc="04210001" w:tentative="1">
      <w:start w:val="1"/>
      <w:numFmt w:val="bullet"/>
      <w:lvlText w:val=""/>
      <w:lvlJc w:val="left"/>
      <w:pPr>
        <w:ind w:left="5328" w:hanging="360"/>
      </w:pPr>
      <w:rPr>
        <w:rFonts w:ascii="Symbol" w:hAnsi="Symbol" w:hint="default"/>
      </w:rPr>
    </w:lvl>
    <w:lvl w:ilvl="7" w:tplc="04210003" w:tentative="1">
      <w:start w:val="1"/>
      <w:numFmt w:val="bullet"/>
      <w:lvlText w:val="o"/>
      <w:lvlJc w:val="left"/>
      <w:pPr>
        <w:ind w:left="6048" w:hanging="360"/>
      </w:pPr>
      <w:rPr>
        <w:rFonts w:ascii="Courier New" w:hAnsi="Courier New" w:cs="Courier New" w:hint="default"/>
      </w:rPr>
    </w:lvl>
    <w:lvl w:ilvl="8" w:tplc="04210005" w:tentative="1">
      <w:start w:val="1"/>
      <w:numFmt w:val="bullet"/>
      <w:lvlText w:val=""/>
      <w:lvlJc w:val="left"/>
      <w:pPr>
        <w:ind w:left="6768" w:hanging="360"/>
      </w:pPr>
      <w:rPr>
        <w:rFonts w:ascii="Wingdings" w:hAnsi="Wingdings" w:hint="default"/>
      </w:rPr>
    </w:lvl>
  </w:abstractNum>
  <w:abstractNum w:abstractNumId="2" w15:restartNumberingAfterBreak="0">
    <w:nsid w:val="1E351496"/>
    <w:multiLevelType w:val="multilevel"/>
    <w:tmpl w:val="FB86D1E0"/>
    <w:lvl w:ilvl="0">
      <w:start w:val="1"/>
      <w:numFmt w:val="decimal"/>
      <w:pStyle w:val="JSKReferenceItem"/>
      <w:lvlText w:val=""/>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 w15:restartNumberingAfterBreak="0">
    <w:nsid w:val="435F4DD5"/>
    <w:multiLevelType w:val="multilevel"/>
    <w:tmpl w:val="72582A04"/>
    <w:lvl w:ilvl="0">
      <w:start w:val="1"/>
      <w:numFmt w:val="bullet"/>
      <w:pStyle w:val="Heading1"/>
      <w:lvlText w:val="●"/>
      <w:lvlJc w:val="left"/>
      <w:pPr>
        <w:ind w:left="432" w:hanging="143"/>
      </w:pPr>
      <w:rPr>
        <w:rFonts w:ascii="Noto Sans Symbols" w:eastAsia="Noto Sans Symbols" w:hAnsi="Noto Sans Symbols" w:cs="Noto Sans Symbols"/>
        <w:sz w:val="20"/>
        <w:szCs w:val="20"/>
      </w:rPr>
    </w:lvl>
    <w:lvl w:ilvl="1">
      <w:start w:val="1"/>
      <w:numFmt w:val="bullet"/>
      <w:pStyle w:val="Heading2"/>
      <w:lvlText w:val="●"/>
      <w:lvlJc w:val="left"/>
      <w:pPr>
        <w:ind w:left="288" w:hanging="288"/>
      </w:pPr>
      <w:rPr>
        <w:rFonts w:ascii="Noto Sans Symbols" w:eastAsia="Noto Sans Symbols" w:hAnsi="Noto Sans Symbols" w:cs="Noto Sans Symbols"/>
        <w:sz w:val="16"/>
        <w:szCs w:val="16"/>
      </w:r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E623D6"/>
    <w:multiLevelType w:val="hybridMultilevel"/>
    <w:tmpl w:val="F12A67F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57BF0279"/>
    <w:multiLevelType w:val="multilevel"/>
    <w:tmpl w:val="0C903132"/>
    <w:lvl w:ilvl="0">
      <w:start w:val="1"/>
      <w:numFmt w:val="decimal"/>
      <w:lvlText w:val="[%1]"/>
      <w:lvlJc w:val="left"/>
      <w:pPr>
        <w:ind w:left="432" w:hanging="432"/>
      </w:pPr>
    </w:lvl>
    <w:lvl w:ilvl="1">
      <w:start w:val="1"/>
      <w:numFmt w:val="decimal"/>
      <w:lvlText w:val="%1.%2)"/>
      <w:lvlJc w:val="left"/>
      <w:pPr>
        <w:ind w:left="936" w:hanging="720"/>
      </w:pPr>
    </w:lvl>
    <w:lvl w:ilvl="2">
      <w:start w:val="1"/>
      <w:numFmt w:val="decimal"/>
      <w:lvlText w:val="%3)"/>
      <w:lvlJc w:val="left"/>
      <w:pPr>
        <w:ind w:left="360" w:hanging="36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6" w15:restartNumberingAfterBreak="0">
    <w:nsid w:val="75A62015"/>
    <w:multiLevelType w:val="hybridMultilevel"/>
    <w:tmpl w:val="F65834B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7B634E9E"/>
    <w:multiLevelType w:val="multilevel"/>
    <w:tmpl w:val="A88457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F2D45F4"/>
    <w:multiLevelType w:val="hybridMultilevel"/>
    <w:tmpl w:val="615466E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07575629">
    <w:abstractNumId w:val="3"/>
  </w:num>
  <w:num w:numId="2" w16cid:durableId="718551040">
    <w:abstractNumId w:val="7"/>
  </w:num>
  <w:num w:numId="3" w16cid:durableId="1997026014">
    <w:abstractNumId w:val="2"/>
  </w:num>
  <w:num w:numId="4" w16cid:durableId="1362970303">
    <w:abstractNumId w:val="5"/>
  </w:num>
  <w:num w:numId="5" w16cid:durableId="2084713359">
    <w:abstractNumId w:val="8"/>
  </w:num>
  <w:num w:numId="6" w16cid:durableId="433672707">
    <w:abstractNumId w:val="0"/>
  </w:num>
  <w:num w:numId="7" w16cid:durableId="148789044">
    <w:abstractNumId w:val="1"/>
  </w:num>
  <w:num w:numId="8" w16cid:durableId="746220839">
    <w:abstractNumId w:val="4"/>
  </w:num>
  <w:num w:numId="9" w16cid:durableId="10581639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00"/>
    <w:rsid w:val="00196244"/>
    <w:rsid w:val="003B56CA"/>
    <w:rsid w:val="004067C9"/>
    <w:rsid w:val="005C03F6"/>
    <w:rsid w:val="00702936"/>
    <w:rsid w:val="00816C00"/>
    <w:rsid w:val="008A4358"/>
    <w:rsid w:val="009C1AC1"/>
    <w:rsid w:val="00AF31D1"/>
    <w:rsid w:val="00D5593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7B7E8"/>
  <w15:chartTrackingRefBased/>
  <w15:docId w15:val="{121B16A4-3BED-4B1B-B014-64C46014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C00"/>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Heading1">
    <w:name w:val="heading 1"/>
    <w:basedOn w:val="Normal"/>
    <w:next w:val="Normal"/>
    <w:link w:val="Heading1Char"/>
    <w:uiPriority w:val="9"/>
    <w:qFormat/>
    <w:rsid w:val="00816C00"/>
    <w:pPr>
      <w:keepNext/>
      <w:numPr>
        <w:numId w:val="1"/>
      </w:numPr>
      <w:spacing w:before="288" w:after="144"/>
      <w:jc w:val="center"/>
      <w:outlineLvl w:val="0"/>
    </w:pPr>
    <w:rPr>
      <w:b/>
      <w:smallCaps/>
      <w:sz w:val="20"/>
      <w:szCs w:val="20"/>
    </w:rPr>
  </w:style>
  <w:style w:type="paragraph" w:styleId="Heading2">
    <w:name w:val="heading 2"/>
    <w:basedOn w:val="Normal"/>
    <w:next w:val="Normal"/>
    <w:link w:val="Heading2Char"/>
    <w:uiPriority w:val="9"/>
    <w:semiHidden/>
    <w:unhideWhenUsed/>
    <w:qFormat/>
    <w:rsid w:val="00816C00"/>
    <w:pPr>
      <w:keepNext/>
      <w:numPr>
        <w:ilvl w:val="1"/>
        <w:numId w:val="1"/>
      </w:numPr>
      <w:jc w:val="both"/>
      <w:outlineLvl w:val="1"/>
    </w:pPr>
    <w:rPr>
      <w:szCs w:val="20"/>
    </w:rPr>
  </w:style>
  <w:style w:type="paragraph" w:styleId="Heading3">
    <w:name w:val="heading 3"/>
    <w:basedOn w:val="Normal"/>
    <w:next w:val="Normal"/>
    <w:link w:val="Heading3Char"/>
    <w:uiPriority w:val="9"/>
    <w:semiHidden/>
    <w:unhideWhenUsed/>
    <w:qFormat/>
    <w:rsid w:val="00816C00"/>
    <w:pPr>
      <w:keepNext/>
      <w:numPr>
        <w:ilvl w:val="2"/>
        <w:numId w:val="1"/>
      </w:numPr>
      <w:ind w:firstLine="851"/>
      <w:jc w:val="both"/>
      <w:outlineLvl w:val="2"/>
    </w:pPr>
    <w:rPr>
      <w:b/>
      <w:sz w:val="20"/>
      <w:szCs w:val="20"/>
    </w:rPr>
  </w:style>
  <w:style w:type="paragraph" w:styleId="Heading4">
    <w:name w:val="heading 4"/>
    <w:basedOn w:val="Normal"/>
    <w:next w:val="Normal"/>
    <w:link w:val="Heading4Char"/>
    <w:uiPriority w:val="9"/>
    <w:semiHidden/>
    <w:unhideWhenUsed/>
    <w:qFormat/>
    <w:rsid w:val="00816C00"/>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816C00"/>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816C0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C00"/>
    <w:rPr>
      <w:rFonts w:ascii="Times New Roman" w:eastAsia="Times New Roman" w:hAnsi="Times New Roman" w:cs="Times New Roman"/>
      <w:b/>
      <w:smallCaps/>
      <w:kern w:val="0"/>
      <w:sz w:val="20"/>
      <w:szCs w:val="20"/>
      <w:lang w:eastAsia="zh-CN"/>
      <w14:ligatures w14:val="none"/>
    </w:rPr>
  </w:style>
  <w:style w:type="character" w:customStyle="1" w:styleId="Heading2Char">
    <w:name w:val="Heading 2 Char"/>
    <w:basedOn w:val="DefaultParagraphFont"/>
    <w:link w:val="Heading2"/>
    <w:uiPriority w:val="9"/>
    <w:semiHidden/>
    <w:rsid w:val="00816C00"/>
    <w:rPr>
      <w:rFonts w:ascii="Times New Roman" w:eastAsia="Times New Roman" w:hAnsi="Times New Roman" w:cs="Times New Roman"/>
      <w:kern w:val="0"/>
      <w:sz w:val="24"/>
      <w:szCs w:val="20"/>
      <w:lang w:eastAsia="zh-CN"/>
      <w14:ligatures w14:val="none"/>
    </w:rPr>
  </w:style>
  <w:style w:type="character" w:customStyle="1" w:styleId="Heading3Char">
    <w:name w:val="Heading 3 Char"/>
    <w:basedOn w:val="DefaultParagraphFont"/>
    <w:link w:val="Heading3"/>
    <w:uiPriority w:val="9"/>
    <w:semiHidden/>
    <w:rsid w:val="00816C00"/>
    <w:rPr>
      <w:rFonts w:ascii="Times New Roman" w:eastAsia="Times New Roman" w:hAnsi="Times New Roman" w:cs="Times New Roman"/>
      <w:b/>
      <w:kern w:val="0"/>
      <w:sz w:val="20"/>
      <w:szCs w:val="20"/>
      <w:lang w:eastAsia="zh-CN"/>
      <w14:ligatures w14:val="none"/>
    </w:rPr>
  </w:style>
  <w:style w:type="character" w:customStyle="1" w:styleId="Heading4Char">
    <w:name w:val="Heading 4 Char"/>
    <w:basedOn w:val="DefaultParagraphFont"/>
    <w:link w:val="Heading4"/>
    <w:uiPriority w:val="9"/>
    <w:semiHidden/>
    <w:rsid w:val="00816C00"/>
    <w:rPr>
      <w:rFonts w:ascii="Times New Roman" w:eastAsia="Times New Roman" w:hAnsi="Times New Roman" w:cs="Times New Roman"/>
      <w:b/>
      <w:kern w:val="0"/>
      <w:sz w:val="24"/>
      <w:szCs w:val="24"/>
      <w:lang w:eastAsia="zh-CN"/>
      <w14:ligatures w14:val="none"/>
    </w:rPr>
  </w:style>
  <w:style w:type="character" w:customStyle="1" w:styleId="Heading5Char">
    <w:name w:val="Heading 5 Char"/>
    <w:basedOn w:val="DefaultParagraphFont"/>
    <w:link w:val="Heading5"/>
    <w:uiPriority w:val="9"/>
    <w:semiHidden/>
    <w:rsid w:val="00816C00"/>
    <w:rPr>
      <w:rFonts w:ascii="Times New Roman" w:eastAsia="Times New Roman" w:hAnsi="Times New Roman" w:cs="Times New Roman"/>
      <w:b/>
      <w:kern w:val="0"/>
      <w:lang w:eastAsia="zh-CN"/>
      <w14:ligatures w14:val="none"/>
    </w:rPr>
  </w:style>
  <w:style w:type="character" w:customStyle="1" w:styleId="Heading6Char">
    <w:name w:val="Heading 6 Char"/>
    <w:basedOn w:val="DefaultParagraphFont"/>
    <w:link w:val="Heading6"/>
    <w:uiPriority w:val="9"/>
    <w:semiHidden/>
    <w:rsid w:val="00816C00"/>
    <w:rPr>
      <w:rFonts w:ascii="Times New Roman" w:eastAsia="Times New Roman" w:hAnsi="Times New Roman" w:cs="Times New Roman"/>
      <w:b/>
      <w:kern w:val="0"/>
      <w:sz w:val="20"/>
      <w:szCs w:val="20"/>
      <w:lang w:eastAsia="zh-CN"/>
      <w14:ligatures w14:val="none"/>
    </w:rPr>
  </w:style>
  <w:style w:type="paragraph" w:styleId="Title">
    <w:name w:val="Title"/>
    <w:basedOn w:val="Normal"/>
    <w:next w:val="Normal"/>
    <w:link w:val="TitleChar"/>
    <w:uiPriority w:val="10"/>
    <w:qFormat/>
    <w:rsid w:val="00816C00"/>
    <w:pPr>
      <w:keepNext/>
      <w:keepLines/>
      <w:spacing w:before="480" w:after="120"/>
    </w:pPr>
    <w:rPr>
      <w:b/>
      <w:sz w:val="72"/>
      <w:szCs w:val="72"/>
    </w:rPr>
  </w:style>
  <w:style w:type="character" w:customStyle="1" w:styleId="TitleChar">
    <w:name w:val="Title Char"/>
    <w:basedOn w:val="DefaultParagraphFont"/>
    <w:link w:val="Title"/>
    <w:uiPriority w:val="10"/>
    <w:rsid w:val="00816C00"/>
    <w:rPr>
      <w:rFonts w:ascii="Times New Roman" w:eastAsia="Times New Roman" w:hAnsi="Times New Roman" w:cs="Times New Roman"/>
      <w:b/>
      <w:kern w:val="0"/>
      <w:sz w:val="72"/>
      <w:szCs w:val="72"/>
      <w:lang w:eastAsia="zh-CN"/>
      <w14:ligatures w14:val="none"/>
    </w:rPr>
  </w:style>
  <w:style w:type="character" w:customStyle="1" w:styleId="WW8Num1z0">
    <w:name w:val="WW8Num1z0"/>
    <w:rsid w:val="00816C00"/>
    <w:rPr>
      <w:b/>
    </w:rPr>
  </w:style>
  <w:style w:type="character" w:customStyle="1" w:styleId="WW8Num1z1">
    <w:name w:val="WW8Num1z1"/>
    <w:rsid w:val="00816C00"/>
  </w:style>
  <w:style w:type="character" w:customStyle="1" w:styleId="WW8Num1z2">
    <w:name w:val="WW8Num1z2"/>
    <w:rsid w:val="00816C00"/>
  </w:style>
  <w:style w:type="character" w:customStyle="1" w:styleId="WW8Num1z3">
    <w:name w:val="WW8Num1z3"/>
    <w:rsid w:val="00816C00"/>
  </w:style>
  <w:style w:type="character" w:customStyle="1" w:styleId="WW8Num1z4">
    <w:name w:val="WW8Num1z4"/>
    <w:rsid w:val="00816C00"/>
  </w:style>
  <w:style w:type="character" w:customStyle="1" w:styleId="WW8Num1z5">
    <w:name w:val="WW8Num1z5"/>
    <w:rsid w:val="00816C00"/>
  </w:style>
  <w:style w:type="character" w:customStyle="1" w:styleId="WW8Num1z6">
    <w:name w:val="WW8Num1z6"/>
    <w:rsid w:val="00816C00"/>
  </w:style>
  <w:style w:type="character" w:customStyle="1" w:styleId="WW8Num1z7">
    <w:name w:val="WW8Num1z7"/>
    <w:rsid w:val="00816C00"/>
  </w:style>
  <w:style w:type="character" w:customStyle="1" w:styleId="WW8Num1z8">
    <w:name w:val="WW8Num1z8"/>
    <w:rsid w:val="00816C00"/>
  </w:style>
  <w:style w:type="character" w:customStyle="1" w:styleId="WW8Num2z0">
    <w:name w:val="WW8Num2z0"/>
    <w:rsid w:val="00816C00"/>
  </w:style>
  <w:style w:type="character" w:customStyle="1" w:styleId="WW8Num2z1">
    <w:name w:val="WW8Num2z1"/>
    <w:rsid w:val="00816C00"/>
  </w:style>
  <w:style w:type="character" w:customStyle="1" w:styleId="WW8Num2z2">
    <w:name w:val="WW8Num2z2"/>
    <w:rsid w:val="00816C00"/>
  </w:style>
  <w:style w:type="character" w:customStyle="1" w:styleId="WW8Num2z3">
    <w:name w:val="WW8Num2z3"/>
    <w:rsid w:val="00816C00"/>
  </w:style>
  <w:style w:type="character" w:customStyle="1" w:styleId="WW8Num2z4">
    <w:name w:val="WW8Num2z4"/>
    <w:rsid w:val="00816C00"/>
  </w:style>
  <w:style w:type="character" w:customStyle="1" w:styleId="WW8Num2z5">
    <w:name w:val="WW8Num2z5"/>
    <w:rsid w:val="00816C00"/>
  </w:style>
  <w:style w:type="character" w:customStyle="1" w:styleId="WW8Num2z6">
    <w:name w:val="WW8Num2z6"/>
    <w:rsid w:val="00816C00"/>
  </w:style>
  <w:style w:type="character" w:customStyle="1" w:styleId="WW8Num2z7">
    <w:name w:val="WW8Num2z7"/>
    <w:rsid w:val="00816C00"/>
  </w:style>
  <w:style w:type="character" w:customStyle="1" w:styleId="WW8Num2z8">
    <w:name w:val="WW8Num2z8"/>
    <w:rsid w:val="00816C00"/>
  </w:style>
  <w:style w:type="character" w:customStyle="1" w:styleId="WW8Num3z0">
    <w:name w:val="WW8Num3z0"/>
    <w:rsid w:val="00816C00"/>
  </w:style>
  <w:style w:type="character" w:customStyle="1" w:styleId="WW8Num3z1">
    <w:name w:val="WW8Num3z1"/>
    <w:rsid w:val="00816C00"/>
  </w:style>
  <w:style w:type="character" w:customStyle="1" w:styleId="WW8Num3z2">
    <w:name w:val="WW8Num3z2"/>
    <w:rsid w:val="00816C00"/>
  </w:style>
  <w:style w:type="character" w:customStyle="1" w:styleId="WW8Num3z3">
    <w:name w:val="WW8Num3z3"/>
    <w:rsid w:val="00816C00"/>
  </w:style>
  <w:style w:type="character" w:customStyle="1" w:styleId="WW8Num3z4">
    <w:name w:val="WW8Num3z4"/>
    <w:rsid w:val="00816C00"/>
  </w:style>
  <w:style w:type="character" w:customStyle="1" w:styleId="WW8Num3z5">
    <w:name w:val="WW8Num3z5"/>
    <w:rsid w:val="00816C00"/>
  </w:style>
  <w:style w:type="character" w:customStyle="1" w:styleId="WW8Num3z6">
    <w:name w:val="WW8Num3z6"/>
    <w:rsid w:val="00816C00"/>
  </w:style>
  <w:style w:type="character" w:customStyle="1" w:styleId="WW8Num3z7">
    <w:name w:val="WW8Num3z7"/>
    <w:rsid w:val="00816C00"/>
  </w:style>
  <w:style w:type="character" w:customStyle="1" w:styleId="WW8Num3z8">
    <w:name w:val="WW8Num3z8"/>
    <w:rsid w:val="00816C00"/>
  </w:style>
  <w:style w:type="character" w:customStyle="1" w:styleId="WW8Num4z0">
    <w:name w:val="WW8Num4z0"/>
    <w:rsid w:val="00816C00"/>
    <w:rPr>
      <w:i/>
    </w:rPr>
  </w:style>
  <w:style w:type="character" w:customStyle="1" w:styleId="WW8Num4z1">
    <w:name w:val="WW8Num4z1"/>
    <w:rsid w:val="00816C00"/>
  </w:style>
  <w:style w:type="character" w:customStyle="1" w:styleId="WW8Num4z2">
    <w:name w:val="WW8Num4z2"/>
    <w:rsid w:val="00816C00"/>
  </w:style>
  <w:style w:type="character" w:customStyle="1" w:styleId="WW8Num4z3">
    <w:name w:val="WW8Num4z3"/>
    <w:rsid w:val="00816C00"/>
  </w:style>
  <w:style w:type="character" w:customStyle="1" w:styleId="WW8Num4z4">
    <w:name w:val="WW8Num4z4"/>
    <w:rsid w:val="00816C00"/>
  </w:style>
  <w:style w:type="character" w:customStyle="1" w:styleId="WW8Num4z5">
    <w:name w:val="WW8Num4z5"/>
    <w:rsid w:val="00816C00"/>
  </w:style>
  <w:style w:type="character" w:customStyle="1" w:styleId="WW8Num4z6">
    <w:name w:val="WW8Num4z6"/>
    <w:rsid w:val="00816C00"/>
  </w:style>
  <w:style w:type="character" w:customStyle="1" w:styleId="WW8Num4z7">
    <w:name w:val="WW8Num4z7"/>
    <w:rsid w:val="00816C00"/>
  </w:style>
  <w:style w:type="character" w:customStyle="1" w:styleId="WW8Num4z8">
    <w:name w:val="WW8Num4z8"/>
    <w:rsid w:val="00816C00"/>
  </w:style>
  <w:style w:type="character" w:customStyle="1" w:styleId="WW8Num5z0">
    <w:name w:val="WW8Num5z0"/>
    <w:rsid w:val="00816C00"/>
  </w:style>
  <w:style w:type="character" w:customStyle="1" w:styleId="WW8Num5z1">
    <w:name w:val="WW8Num5z1"/>
    <w:rsid w:val="00816C00"/>
  </w:style>
  <w:style w:type="character" w:customStyle="1" w:styleId="WW8Num5z2">
    <w:name w:val="WW8Num5z2"/>
    <w:rsid w:val="00816C00"/>
  </w:style>
  <w:style w:type="character" w:customStyle="1" w:styleId="WW8Num5z3">
    <w:name w:val="WW8Num5z3"/>
    <w:rsid w:val="00816C00"/>
  </w:style>
  <w:style w:type="character" w:customStyle="1" w:styleId="WW8Num5z4">
    <w:name w:val="WW8Num5z4"/>
    <w:rsid w:val="00816C00"/>
  </w:style>
  <w:style w:type="character" w:customStyle="1" w:styleId="WW8Num5z5">
    <w:name w:val="WW8Num5z5"/>
    <w:rsid w:val="00816C00"/>
  </w:style>
  <w:style w:type="character" w:customStyle="1" w:styleId="WW8Num5z6">
    <w:name w:val="WW8Num5z6"/>
    <w:rsid w:val="00816C00"/>
  </w:style>
  <w:style w:type="character" w:customStyle="1" w:styleId="WW8Num5z7">
    <w:name w:val="WW8Num5z7"/>
    <w:rsid w:val="00816C00"/>
  </w:style>
  <w:style w:type="character" w:customStyle="1" w:styleId="WW8Num5z8">
    <w:name w:val="WW8Num5z8"/>
    <w:rsid w:val="00816C00"/>
  </w:style>
  <w:style w:type="character" w:customStyle="1" w:styleId="FootnoteCharacters">
    <w:name w:val="Footnote Characters"/>
    <w:rsid w:val="00816C00"/>
    <w:rPr>
      <w:vertAlign w:val="superscript"/>
    </w:rPr>
  </w:style>
  <w:style w:type="character" w:styleId="Hyperlink">
    <w:name w:val="Hyperlink"/>
    <w:rsid w:val="00816C00"/>
    <w:rPr>
      <w:color w:val="0000FF"/>
      <w:u w:val="single"/>
    </w:rPr>
  </w:style>
  <w:style w:type="character" w:customStyle="1" w:styleId="WW8Num21z0">
    <w:name w:val="WW8Num21z0"/>
    <w:rsid w:val="00816C00"/>
    <w:rPr>
      <w:rFonts w:ascii="Symbol" w:hAnsi="Symbol" w:cs="Times New Roman"/>
      <w:sz w:val="20"/>
      <w:szCs w:val="16"/>
    </w:rPr>
  </w:style>
  <w:style w:type="character" w:customStyle="1" w:styleId="WW8Num21z1">
    <w:name w:val="WW8Num21z1"/>
    <w:rsid w:val="00816C00"/>
    <w:rPr>
      <w:rFonts w:ascii="Symbol" w:eastAsia="SimSun" w:hAnsi="Symbol"/>
      <w:sz w:val="16"/>
      <w:szCs w:val="24"/>
    </w:rPr>
  </w:style>
  <w:style w:type="character" w:styleId="Emphasis">
    <w:name w:val="Emphasis"/>
    <w:qFormat/>
    <w:rsid w:val="00816C00"/>
    <w:rPr>
      <w:i/>
      <w:iCs/>
    </w:rPr>
  </w:style>
  <w:style w:type="paragraph" w:customStyle="1" w:styleId="Heading">
    <w:name w:val="Heading"/>
    <w:basedOn w:val="Normal"/>
    <w:next w:val="Subtitle"/>
    <w:rsid w:val="00816C00"/>
    <w:pPr>
      <w:jc w:val="center"/>
    </w:pPr>
    <w:rPr>
      <w:rFonts w:cs="Arial"/>
      <w:b/>
      <w:bCs/>
      <w:kern w:val="1"/>
      <w:sz w:val="32"/>
      <w:szCs w:val="32"/>
    </w:rPr>
  </w:style>
  <w:style w:type="paragraph" w:styleId="BodyText">
    <w:name w:val="Body Text"/>
    <w:basedOn w:val="Normal"/>
    <w:link w:val="BodyTextChar"/>
    <w:rsid w:val="00816C00"/>
    <w:pPr>
      <w:spacing w:after="140" w:line="288" w:lineRule="auto"/>
    </w:pPr>
  </w:style>
  <w:style w:type="character" w:customStyle="1" w:styleId="BodyTextChar">
    <w:name w:val="Body Text Char"/>
    <w:basedOn w:val="DefaultParagraphFont"/>
    <w:link w:val="BodyText"/>
    <w:rsid w:val="00816C00"/>
    <w:rPr>
      <w:rFonts w:ascii="Times New Roman" w:eastAsia="Times New Roman" w:hAnsi="Times New Roman" w:cs="Times New Roman"/>
      <w:kern w:val="0"/>
      <w:sz w:val="24"/>
      <w:szCs w:val="24"/>
      <w:lang w:eastAsia="zh-CN"/>
      <w14:ligatures w14:val="none"/>
    </w:rPr>
  </w:style>
  <w:style w:type="paragraph" w:styleId="List">
    <w:name w:val="List"/>
    <w:basedOn w:val="BodyText"/>
    <w:rsid w:val="00816C00"/>
    <w:rPr>
      <w:rFonts w:cs="FreeSans"/>
    </w:rPr>
  </w:style>
  <w:style w:type="paragraph" w:styleId="Caption">
    <w:name w:val="caption"/>
    <w:basedOn w:val="Normal"/>
    <w:qFormat/>
    <w:rsid w:val="00816C00"/>
    <w:pPr>
      <w:suppressLineNumbers/>
      <w:spacing w:before="120" w:after="120"/>
    </w:pPr>
    <w:rPr>
      <w:rFonts w:cs="FreeSans"/>
      <w:i/>
      <w:iCs/>
    </w:rPr>
  </w:style>
  <w:style w:type="paragraph" w:customStyle="1" w:styleId="Index">
    <w:name w:val="Index"/>
    <w:basedOn w:val="Normal"/>
    <w:rsid w:val="00816C00"/>
    <w:pPr>
      <w:suppressLineNumbers/>
    </w:pPr>
    <w:rPr>
      <w:rFonts w:cs="FreeSans"/>
    </w:rPr>
  </w:style>
  <w:style w:type="paragraph" w:styleId="Subtitle">
    <w:name w:val="Subtitle"/>
    <w:basedOn w:val="Normal"/>
    <w:next w:val="Normal"/>
    <w:link w:val="SubtitleChar"/>
    <w:uiPriority w:val="11"/>
    <w:qFormat/>
    <w:rsid w:val="00816C00"/>
    <w:pPr>
      <w:spacing w:after="60"/>
      <w:jc w:val="center"/>
    </w:pPr>
    <w:rPr>
      <w:rFonts w:ascii="Arial" w:eastAsia="Arial" w:hAnsi="Arial" w:cs="Arial"/>
    </w:rPr>
  </w:style>
  <w:style w:type="character" w:customStyle="1" w:styleId="SubtitleChar">
    <w:name w:val="Subtitle Char"/>
    <w:basedOn w:val="DefaultParagraphFont"/>
    <w:link w:val="Subtitle"/>
    <w:uiPriority w:val="11"/>
    <w:rsid w:val="00816C00"/>
    <w:rPr>
      <w:rFonts w:ascii="Arial" w:eastAsia="Arial" w:hAnsi="Arial" w:cs="Arial"/>
      <w:kern w:val="0"/>
      <w:sz w:val="24"/>
      <w:szCs w:val="24"/>
      <w:lang w:eastAsia="zh-CN"/>
      <w14:ligatures w14:val="none"/>
    </w:rPr>
  </w:style>
  <w:style w:type="paragraph" w:styleId="BodyTextIndent">
    <w:name w:val="Body Text Indent"/>
    <w:basedOn w:val="Normal"/>
    <w:link w:val="BodyTextIndentChar"/>
    <w:rsid w:val="00816C00"/>
    <w:pPr>
      <w:ind w:firstLine="567"/>
      <w:jc w:val="both"/>
    </w:pPr>
    <w:rPr>
      <w:sz w:val="20"/>
      <w:szCs w:val="20"/>
    </w:rPr>
  </w:style>
  <w:style w:type="character" w:customStyle="1" w:styleId="BodyTextIndentChar">
    <w:name w:val="Body Text Indent Char"/>
    <w:basedOn w:val="DefaultParagraphFont"/>
    <w:link w:val="BodyTextIndent"/>
    <w:rsid w:val="00816C00"/>
    <w:rPr>
      <w:rFonts w:ascii="Times New Roman" w:eastAsia="Times New Roman" w:hAnsi="Times New Roman" w:cs="Times New Roman"/>
      <w:kern w:val="0"/>
      <w:sz w:val="20"/>
      <w:szCs w:val="20"/>
      <w:lang w:eastAsia="zh-CN"/>
      <w14:ligatures w14:val="none"/>
    </w:rPr>
  </w:style>
  <w:style w:type="paragraph" w:styleId="BodyTextIndent2">
    <w:name w:val="Body Text Indent 2"/>
    <w:basedOn w:val="Normal"/>
    <w:link w:val="BodyTextIndent2Char"/>
    <w:rsid w:val="00816C00"/>
    <w:pPr>
      <w:ind w:left="567" w:hanging="567"/>
      <w:jc w:val="both"/>
    </w:pPr>
    <w:rPr>
      <w:sz w:val="20"/>
      <w:szCs w:val="20"/>
    </w:rPr>
  </w:style>
  <w:style w:type="character" w:customStyle="1" w:styleId="BodyTextIndent2Char">
    <w:name w:val="Body Text Indent 2 Char"/>
    <w:basedOn w:val="DefaultParagraphFont"/>
    <w:link w:val="BodyTextIndent2"/>
    <w:rsid w:val="00816C00"/>
    <w:rPr>
      <w:rFonts w:ascii="Times New Roman" w:eastAsia="Times New Roman" w:hAnsi="Times New Roman" w:cs="Times New Roman"/>
      <w:kern w:val="0"/>
      <w:sz w:val="20"/>
      <w:szCs w:val="20"/>
      <w:lang w:eastAsia="zh-CN"/>
      <w14:ligatures w14:val="none"/>
    </w:rPr>
  </w:style>
  <w:style w:type="paragraph" w:customStyle="1" w:styleId="Equation">
    <w:name w:val="Equation"/>
    <w:basedOn w:val="BodyTextIndent"/>
    <w:rsid w:val="00816C00"/>
    <w:pPr>
      <w:tabs>
        <w:tab w:val="left" w:pos="57"/>
        <w:tab w:val="center" w:pos="1985"/>
        <w:tab w:val="right" w:pos="4026"/>
      </w:tabs>
      <w:ind w:firstLine="0"/>
      <w:jc w:val="left"/>
    </w:pPr>
  </w:style>
  <w:style w:type="paragraph" w:customStyle="1" w:styleId="Body">
    <w:name w:val="Body"/>
    <w:basedOn w:val="BodyTextIndent"/>
    <w:rsid w:val="00816C00"/>
    <w:pPr>
      <w:ind w:firstLine="288"/>
    </w:pPr>
  </w:style>
  <w:style w:type="paragraph" w:customStyle="1" w:styleId="BodyAbstract">
    <w:name w:val="Body Abstract"/>
    <w:basedOn w:val="Heading1"/>
    <w:rsid w:val="00816C00"/>
    <w:pPr>
      <w:numPr>
        <w:numId w:val="0"/>
      </w:numPr>
      <w:ind w:left="567" w:right="567"/>
    </w:pPr>
    <w:rPr>
      <w:b w:val="0"/>
      <w:i/>
    </w:rPr>
  </w:style>
  <w:style w:type="paragraph" w:styleId="FootnoteText">
    <w:name w:val="footnote text"/>
    <w:basedOn w:val="Normal"/>
    <w:link w:val="FootnoteTextChar"/>
    <w:rsid w:val="00816C00"/>
    <w:rPr>
      <w:sz w:val="20"/>
      <w:szCs w:val="20"/>
    </w:rPr>
  </w:style>
  <w:style w:type="character" w:customStyle="1" w:styleId="FootnoteTextChar">
    <w:name w:val="Footnote Text Char"/>
    <w:basedOn w:val="DefaultParagraphFont"/>
    <w:link w:val="FootnoteText"/>
    <w:rsid w:val="00816C00"/>
    <w:rPr>
      <w:rFonts w:ascii="Times New Roman" w:eastAsia="Times New Roman" w:hAnsi="Times New Roman" w:cs="Times New Roman"/>
      <w:kern w:val="0"/>
      <w:sz w:val="20"/>
      <w:szCs w:val="20"/>
      <w:lang w:eastAsia="zh-CN"/>
      <w14:ligatures w14:val="none"/>
    </w:rPr>
  </w:style>
  <w:style w:type="paragraph" w:customStyle="1" w:styleId="StyleTitle">
    <w:name w:val="Style Title"/>
    <w:basedOn w:val="Heading"/>
    <w:rsid w:val="00816C00"/>
    <w:rPr>
      <w:sz w:val="24"/>
    </w:rPr>
  </w:style>
  <w:style w:type="paragraph" w:styleId="NormalWeb">
    <w:name w:val="Normal (Web)"/>
    <w:basedOn w:val="Normal"/>
    <w:rsid w:val="00816C00"/>
    <w:pPr>
      <w:spacing w:before="280" w:after="119"/>
    </w:pPr>
  </w:style>
  <w:style w:type="paragraph" w:customStyle="1" w:styleId="Author">
    <w:name w:val="Author"/>
    <w:basedOn w:val="Normal"/>
    <w:rsid w:val="00816C00"/>
    <w:pPr>
      <w:jc w:val="center"/>
    </w:pPr>
    <w:rPr>
      <w:b/>
    </w:rPr>
  </w:style>
  <w:style w:type="paragraph" w:customStyle="1" w:styleId="AbstractTitle">
    <w:name w:val="Abstract Title"/>
    <w:basedOn w:val="Normal"/>
    <w:rsid w:val="00816C00"/>
    <w:pPr>
      <w:jc w:val="center"/>
    </w:pPr>
    <w:rPr>
      <w:b/>
      <w:sz w:val="20"/>
      <w:szCs w:val="20"/>
    </w:rPr>
  </w:style>
  <w:style w:type="paragraph" w:customStyle="1" w:styleId="FrameContents">
    <w:name w:val="Frame Contents"/>
    <w:basedOn w:val="Normal"/>
    <w:rsid w:val="00816C00"/>
  </w:style>
  <w:style w:type="paragraph" w:customStyle="1" w:styleId="TableContents">
    <w:name w:val="Table Contents"/>
    <w:basedOn w:val="Normal"/>
    <w:rsid w:val="00816C00"/>
    <w:pPr>
      <w:suppressLineNumbers/>
    </w:pPr>
  </w:style>
  <w:style w:type="paragraph" w:customStyle="1" w:styleId="TableHeading">
    <w:name w:val="Table Heading"/>
    <w:basedOn w:val="TableContents"/>
    <w:rsid w:val="00816C00"/>
    <w:pPr>
      <w:jc w:val="center"/>
    </w:pPr>
    <w:rPr>
      <w:b/>
      <w:bCs/>
    </w:rPr>
  </w:style>
  <w:style w:type="paragraph" w:customStyle="1" w:styleId="JSKReferenceItem">
    <w:name w:val="JSK Reference Item"/>
    <w:basedOn w:val="Normal"/>
    <w:rsid w:val="00816C00"/>
    <w:pPr>
      <w:numPr>
        <w:numId w:val="3"/>
      </w:numPr>
      <w:snapToGrid w:val="0"/>
      <w:jc w:val="both"/>
    </w:pPr>
    <w:rPr>
      <w:sz w:val="16"/>
    </w:rPr>
  </w:style>
  <w:style w:type="paragraph" w:customStyle="1" w:styleId="JSKParagraph">
    <w:name w:val="JSK Paragraph"/>
    <w:basedOn w:val="Normal"/>
    <w:rsid w:val="00816C00"/>
    <w:pPr>
      <w:snapToGrid w:val="0"/>
      <w:ind w:firstLine="216"/>
      <w:jc w:val="both"/>
    </w:pPr>
    <w:rPr>
      <w:sz w:val="20"/>
    </w:rPr>
  </w:style>
  <w:style w:type="paragraph" w:customStyle="1" w:styleId="Gambar">
    <w:name w:val="Gambar"/>
    <w:basedOn w:val="Caption"/>
    <w:rsid w:val="00816C00"/>
  </w:style>
  <w:style w:type="paragraph" w:customStyle="1" w:styleId="Tabel">
    <w:name w:val="Tabel"/>
    <w:basedOn w:val="Caption"/>
    <w:rsid w:val="00816C00"/>
  </w:style>
  <w:style w:type="paragraph" w:styleId="Header">
    <w:name w:val="header"/>
    <w:basedOn w:val="Normal"/>
    <w:link w:val="HeaderChar"/>
    <w:uiPriority w:val="99"/>
    <w:unhideWhenUsed/>
    <w:rsid w:val="00816C00"/>
    <w:pPr>
      <w:tabs>
        <w:tab w:val="center" w:pos="4680"/>
        <w:tab w:val="right" w:pos="9360"/>
      </w:tabs>
    </w:pPr>
  </w:style>
  <w:style w:type="character" w:customStyle="1" w:styleId="HeaderChar">
    <w:name w:val="Header Char"/>
    <w:basedOn w:val="DefaultParagraphFont"/>
    <w:link w:val="Header"/>
    <w:uiPriority w:val="99"/>
    <w:rsid w:val="00816C00"/>
    <w:rPr>
      <w:rFonts w:ascii="Times New Roman" w:eastAsia="Times New Roman" w:hAnsi="Times New Roman" w:cs="Times New Roman"/>
      <w:kern w:val="0"/>
      <w:sz w:val="24"/>
      <w:szCs w:val="24"/>
      <w:lang w:eastAsia="zh-CN"/>
      <w14:ligatures w14:val="none"/>
    </w:rPr>
  </w:style>
  <w:style w:type="paragraph" w:styleId="Footer">
    <w:name w:val="footer"/>
    <w:basedOn w:val="Normal"/>
    <w:link w:val="FooterChar"/>
    <w:uiPriority w:val="99"/>
    <w:unhideWhenUsed/>
    <w:rsid w:val="00816C00"/>
    <w:pPr>
      <w:tabs>
        <w:tab w:val="center" w:pos="4680"/>
        <w:tab w:val="right" w:pos="9360"/>
      </w:tabs>
    </w:pPr>
  </w:style>
  <w:style w:type="character" w:customStyle="1" w:styleId="FooterChar">
    <w:name w:val="Footer Char"/>
    <w:basedOn w:val="DefaultParagraphFont"/>
    <w:link w:val="Footer"/>
    <w:uiPriority w:val="99"/>
    <w:rsid w:val="00816C00"/>
    <w:rPr>
      <w:rFonts w:ascii="Times New Roman" w:eastAsia="Times New Roman" w:hAnsi="Times New Roman" w:cs="Times New Roman"/>
      <w:kern w:val="0"/>
      <w:sz w:val="24"/>
      <w:szCs w:val="24"/>
      <w:lang w:eastAsia="zh-CN"/>
      <w14:ligatures w14:val="none"/>
    </w:rPr>
  </w:style>
  <w:style w:type="paragraph" w:styleId="ListParagraph">
    <w:name w:val="List Paragraph"/>
    <w:basedOn w:val="Normal"/>
    <w:uiPriority w:val="34"/>
    <w:qFormat/>
    <w:rsid w:val="00816C00"/>
    <w:pPr>
      <w:ind w:left="720"/>
      <w:contextualSpacing/>
    </w:pPr>
  </w:style>
  <w:style w:type="paragraph" w:styleId="HTMLPreformatted">
    <w:name w:val="HTML Preformatted"/>
    <w:basedOn w:val="Normal"/>
    <w:link w:val="HTMLPreformattedChar"/>
    <w:uiPriority w:val="99"/>
    <w:semiHidden/>
    <w:unhideWhenUsed/>
    <w:rsid w:val="00816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816C00"/>
    <w:rPr>
      <w:rFonts w:ascii="Courier New" w:eastAsia="Times New Roman" w:hAnsi="Courier New" w:cs="Courier New"/>
      <w:kern w:val="0"/>
      <w:sz w:val="20"/>
      <w:szCs w:val="20"/>
      <w:lang w:val="en-US"/>
      <w14:ligatures w14:val="none"/>
    </w:rPr>
  </w:style>
  <w:style w:type="table" w:styleId="TableGrid">
    <w:name w:val="Table Grid"/>
    <w:basedOn w:val="TableNormal"/>
    <w:uiPriority w:val="39"/>
    <w:rsid w:val="00816C0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6C0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19598</Words>
  <Characters>111715</Characters>
  <Application>Microsoft Office Word</Application>
  <DocSecurity>0</DocSecurity>
  <Lines>930</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2024-09-17T23:21:00Z</dcterms:created>
  <dcterms:modified xsi:type="dcterms:W3CDTF">2024-09-20T03:41:00Z</dcterms:modified>
</cp:coreProperties>
</file>